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AMPLIACIÓN DE DEMANDA DE NULIDAD TFJA. NOTIFICACIÓN ILEGAL Y CADUCIDAD DE MULTAS LABORALES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Este concepto está pensado para la ampliación de demanda, porque en la demanda manifiestas que desconoces la multa, la autoridad la exhibe al contestar con su constancia de notificación y tú combates ambas en la ampliación, dentro del plazo que fija el artículo 17 de la Ley Federal de Procedimiento Contencioso Administrativo; si conocías la multa y sólo sostienes que su notificación fue ilegal, traslada el concepto a la demanda misma, conforme a la fracción I del artículo 16, y suprime las referencias a la ampliación.</w:t>
      </w:r>
    </w:p>
    <w:p>
      <w:pPr>
        <w:spacing w:line="360" w:lineRule="auto"/>
        <w:jc w:val="both"/>
      </w:pPr>
      <w:r>
        <w:rPr>
          <w:rFonts w:ascii="Arial" w:hAnsi="Arial"/>
          <w:b w:val="0"/>
          <w:i w:val="0"/>
          <w:sz w:val="24"/>
        </w:rPr>
        <w:t>Antes de llenarlo, reconstruye la línea de tiempo con el expediente administrativo que exhiba la autoridad (emplazamiento, cierre de instrucción, fecha de la resolución y acta de notificación), lee el acta completa y confirma que la diligencia se entendió con un tercero y que no identifica a quien recibió el citatorio; haz el cómputo en días hábiles, descontando los inhábiles y cualquier suspensión de plazos que haya decretado la autoridad, como la del sismo de septiembre de 2017 que descontó la Sala en el caso que inspira este machote.</w:t>
      </w:r>
    </w:p>
    <w:p>
      <w:pPr>
        <w:spacing w:line="360" w:lineRule="auto"/>
        <w:jc w:val="both"/>
      </w:pPr>
      <w:r>
        <w:rPr>
          <w:rFonts w:ascii="Arial" w:hAnsi="Arial"/>
          <w:b w:val="0"/>
          <w:i w:val="0"/>
          <w:sz w:val="24"/>
        </w:rPr>
        <w:t>Revisa también que la multa no haya sido materia de otro juicio con las mismas partes, porque el artículo 8, fracción III, de la ley procesal lleva al sobreseimiento por cosa juzgada, y determina la vía, porque las multas por infracción a normas administrativas federales van a la sumaria cuando su importe no rebasa el umbral del artículo 58-2; la demanda se presenta en treinta días, con fundamento en el artículo 13, fracción I, en la vía ordinaria, y en el artículo 58-2, párrafo tercero, en la sumaria.</w:t>
      </w:r>
    </w:p>
    <w:p>
      <w:pPr>
        <w:spacing w:line="360" w:lineRule="auto"/>
        <w:jc w:val="both"/>
      </w:pPr>
      <w:r>
        <w:rPr>
          <w:rFonts w:ascii="Arial" w:hAnsi="Arial"/>
          <w:b w:val="0"/>
          <w:i w:val="0"/>
          <w:sz w:val="24"/>
        </w:rPr>
        <w:t>Ten presente que, según el segundo párrafo del artículo 60 de la Ley Federal de Procedimiento Administrativo, la caducidad no produce por sí misma la prescripción de las acciones de la administración, aunque los procedimientos caducados no la interrumpen; revisa también si la facultad para sancionar ya prescribió, y coteja el texto del reglamento de inspección y de esa ley vigente cuando se tramitó tu procedimiento, porque los plazos del machote salen de los preceptos que aplicó la Sala.</w:t>
      </w:r>
    </w:p>
    <w:p>
      <w:pPr>
        <w:spacing w:line="360" w:lineRule="auto"/>
        <w:jc w:val="both"/>
      </w:pPr>
      <w:r>
        <w:rPr>
          <w:rFonts w:ascii="Arial" w:hAnsi="Arial"/>
          <w:b w:val="0"/>
          <w:i w:val="0"/>
          <w:sz w:val="24"/>
        </w:rPr>
        <w:t>Si la multa la impuso una autoridad laboral local, verifica el tribunal competente y sustituye la Ley Federal de Procedimiento Administrativo por la ley de procedimiento estatal a la que remite el artículo 1 del reglamento de inspección.</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ampliación de demanda (PRIMERO, SEGUNDO…).</w:t>
      </w:r>
    </w:p>
    <w:p>
      <w:pPr>
        <w:spacing w:line="360" w:lineRule="auto"/>
        <w:jc w:val="both"/>
      </w:pPr>
      <w:r>
        <w:rPr>
          <w:rFonts w:ascii="Arial" w:hAnsi="Arial"/>
          <w:b/>
          <w:i w:val="0"/>
          <w:sz w:val="24"/>
        </w:rPr>
        <w:t>[NÚMERO DE LA RESOLUCIÓN IMPUGNADA]</w:t>
      </w:r>
      <w:r>
        <w:rPr>
          <w:rFonts w:ascii="Arial" w:hAnsi="Arial"/>
          <w:b w:val="0"/>
          <w:i w:val="0"/>
          <w:sz w:val="24"/>
        </w:rPr>
        <w:t>: el número o clave de la resolución que impuso la multa, tal como aparece en el documento que exhibió la autoridad.</w:t>
      </w:r>
    </w:p>
    <w:p>
      <w:pPr>
        <w:spacing w:line="360" w:lineRule="auto"/>
        <w:jc w:val="both"/>
      </w:pPr>
      <w:r>
        <w:rPr>
          <w:rFonts w:ascii="Arial" w:hAnsi="Arial"/>
          <w:b/>
          <w:i w:val="0"/>
          <w:sz w:val="24"/>
        </w:rPr>
        <w:t>[FECHA DE EMISIÓN DE LA RESOLUCIÓN IMPUGNADA]</w:t>
      </w:r>
      <w:r>
        <w:rPr>
          <w:rFonts w:ascii="Arial" w:hAnsi="Arial"/>
          <w:b w:val="0"/>
          <w:i w:val="0"/>
          <w:sz w:val="24"/>
        </w:rPr>
        <w:t>: la fecha que lleva la resolución sancionadora.</w:t>
      </w:r>
    </w:p>
    <w:p>
      <w:pPr>
        <w:spacing w:line="360" w:lineRule="auto"/>
        <w:jc w:val="both"/>
      </w:pPr>
      <w:r>
        <w:rPr>
          <w:rFonts w:ascii="Arial" w:hAnsi="Arial"/>
          <w:b/>
          <w:i w:val="0"/>
          <w:sz w:val="24"/>
        </w:rPr>
        <w:t>[AUTORIDAD DEMANDADA]</w:t>
      </w:r>
      <w:r>
        <w:rPr>
          <w:rFonts w:ascii="Arial" w:hAnsi="Arial"/>
          <w:b w:val="0"/>
          <w:i w:val="0"/>
          <w:sz w:val="24"/>
        </w:rPr>
        <w:t>: la oficina de la Secretaría del Trabajo y Previsión Social que emitió la multa, con su denominación completa.</w:t>
      </w:r>
    </w:p>
    <w:p>
      <w:pPr>
        <w:spacing w:line="360" w:lineRule="auto"/>
        <w:jc w:val="both"/>
      </w:pPr>
      <w:r>
        <w:rPr>
          <w:rFonts w:ascii="Arial" w:hAnsi="Arial"/>
          <w:b/>
          <w:i w:val="0"/>
          <w:sz w:val="24"/>
        </w:rPr>
        <w:t>[NOMBRE DE LA PARTE ACTORA]</w:t>
      </w:r>
      <w:r>
        <w:rPr>
          <w:rFonts w:ascii="Arial" w:hAnsi="Arial"/>
          <w:b w:val="0"/>
          <w:i w:val="0"/>
          <w:sz w:val="24"/>
        </w:rPr>
        <w:t>: la persona física o moral sancionada.</w:t>
      </w:r>
    </w:p>
    <w:p>
      <w:pPr>
        <w:spacing w:line="360" w:lineRule="auto"/>
        <w:jc w:val="both"/>
      </w:pPr>
      <w:r>
        <w:rPr>
          <w:rFonts w:ascii="Arial" w:hAnsi="Arial"/>
          <w:b/>
          <w:i w:val="0"/>
          <w:sz w:val="24"/>
        </w:rPr>
        <w:t>[MONTO DE LA MULTA]</w:t>
      </w:r>
      <w:r>
        <w:rPr>
          <w:rFonts w:ascii="Arial" w:hAnsi="Arial"/>
          <w:b w:val="0"/>
          <w:i w:val="0"/>
          <w:sz w:val="24"/>
        </w:rPr>
        <w:t>: la cantidad impuesta, con número y letra.</w:t>
      </w:r>
    </w:p>
    <w:p>
      <w:pPr>
        <w:spacing w:line="360" w:lineRule="auto"/>
        <w:jc w:val="both"/>
      </w:pPr>
      <w:r>
        <w:rPr>
          <w:rFonts w:ascii="Arial" w:hAnsi="Arial"/>
          <w:b/>
          <w:i w:val="0"/>
          <w:sz w:val="24"/>
        </w:rPr>
        <w:t>[AUTORIDAD EJECUTORA]</w:t>
      </w:r>
      <w:r>
        <w:rPr>
          <w:rFonts w:ascii="Arial" w:hAnsi="Arial"/>
          <w:b w:val="0"/>
          <w:i w:val="0"/>
          <w:sz w:val="24"/>
        </w:rPr>
        <w:t>: la autoridad fiscal que intenta cobrar la multa mediante el procedimiento administrativo de ejecución.</w:t>
      </w:r>
    </w:p>
    <w:p>
      <w:pPr>
        <w:spacing w:line="360" w:lineRule="auto"/>
        <w:jc w:val="both"/>
      </w:pPr>
      <w:r>
        <w:rPr>
          <w:rFonts w:ascii="Arial" w:hAnsi="Arial"/>
          <w:b/>
          <w:i w:val="0"/>
          <w:sz w:val="24"/>
        </w:rPr>
        <w:t>[FECHA DEL EMPLAZAMIENTO AL PROCEDIMIENTO SANCIONADOR]</w:t>
      </w:r>
      <w:r>
        <w:rPr>
          <w:rFonts w:ascii="Arial" w:hAnsi="Arial"/>
          <w:b w:val="0"/>
          <w:i w:val="0"/>
          <w:sz w:val="24"/>
        </w:rPr>
        <w:t>: la fecha en que se notificó el emplazamiento, según las constancias exhibidas.</w:t>
      </w:r>
    </w:p>
    <w:p>
      <w:pPr>
        <w:spacing w:line="360" w:lineRule="auto"/>
        <w:jc w:val="both"/>
      </w:pPr>
      <w:r>
        <w:rPr>
          <w:rFonts w:ascii="Arial" w:hAnsi="Arial"/>
          <w:b/>
          <w:i w:val="0"/>
          <w:sz w:val="24"/>
        </w:rPr>
        <w:t>[FECHA DEL ACUERDO DE CIERRE DE INSTRUCCIÓN]</w:t>
      </w:r>
      <w:r>
        <w:rPr>
          <w:rFonts w:ascii="Arial" w:hAnsi="Arial"/>
          <w:b w:val="0"/>
          <w:i w:val="0"/>
          <w:sz w:val="24"/>
        </w:rPr>
        <w:t>: la fecha del acuerdo que cerró el procedimiento y turnó los autos para resolver.</w:t>
      </w:r>
    </w:p>
    <w:p>
      <w:pPr>
        <w:spacing w:line="360" w:lineRule="auto"/>
        <w:jc w:val="both"/>
      </w:pPr>
      <w:r>
        <w:rPr>
          <w:rFonts w:ascii="Arial" w:hAnsi="Arial"/>
          <w:b/>
          <w:i w:val="0"/>
          <w:sz w:val="24"/>
        </w:rPr>
        <w:t>[FECHA DEL ACTA DE NOTIFICACIÓN]</w:t>
      </w:r>
      <w:r>
        <w:rPr>
          <w:rFonts w:ascii="Arial" w:hAnsi="Arial"/>
          <w:b w:val="0"/>
          <w:i w:val="0"/>
          <w:sz w:val="24"/>
        </w:rPr>
        <w:t>: la fecha del acta con la que se pretendió notificar la multa a un tercero, previo citatorio.</w:t>
      </w:r>
    </w:p>
    <w:p>
      <w:pPr>
        <w:spacing w:line="360" w:lineRule="auto"/>
        <w:jc w:val="both"/>
      </w:pPr>
      <w:r>
        <w:rPr>
          <w:rFonts w:ascii="Arial" w:hAnsi="Arial"/>
          <w:b/>
          <w:i w:val="0"/>
          <w:sz w:val="24"/>
        </w:rPr>
        <w:t>[FOLIO DEL ACTA DE NOTIFICACIÓN EN AUTOS]</w:t>
      </w:r>
      <w:r>
        <w:rPr>
          <w:rFonts w:ascii="Arial" w:hAnsi="Arial"/>
          <w:b w:val="0"/>
          <w:i w:val="0"/>
          <w:sz w:val="24"/>
        </w:rPr>
        <w:t>: la foja o el folio del expediente del juicio donde obra esa acta.</w:t>
      </w:r>
    </w:p>
    <w:p>
      <w:pPr>
        <w:spacing w:line="360" w:lineRule="auto"/>
        <w:jc w:val="both"/>
      </w:pPr>
      <w:r>
        <w:rPr>
          <w:rFonts w:ascii="Arial" w:hAnsi="Arial"/>
          <w:b/>
          <w:i w:val="0"/>
          <w:sz w:val="24"/>
        </w:rPr>
        <w:t>[FECHA EN QUE LA PARTE ACTORA CONOCIÓ LA RESOLUCIÓN]</w:t>
      </w:r>
      <w:r>
        <w:rPr>
          <w:rFonts w:ascii="Arial" w:hAnsi="Arial"/>
          <w:b w:val="0"/>
          <w:i w:val="0"/>
          <w:sz w:val="24"/>
        </w:rPr>
        <w:t>: la fecha en que se te notificó el acuerdo que te corrió traslado con la contestación y sus anexos.</w:t>
      </w:r>
    </w:p>
    <w:p>
      <w:pPr>
        <w:spacing w:line="360" w:lineRule="auto"/>
        <w:jc w:val="both"/>
      </w:pPr>
      <w:r>
        <w:rPr>
          <w:rFonts w:ascii="Arial" w:hAnsi="Arial"/>
          <w:b/>
          <w:i w:val="0"/>
          <w:sz w:val="24"/>
        </w:rPr>
        <w:t>[FECHA EN QUE VENCIÓ EL PLAZO PARA RESOLVER]</w:t>
      </w:r>
      <w:r>
        <w:rPr>
          <w:rFonts w:ascii="Arial" w:hAnsi="Arial"/>
          <w:b w:val="0"/>
          <w:i w:val="0"/>
          <w:sz w:val="24"/>
        </w:rPr>
        <w:t>: el último día hábil del término reglamentario para dictar la resolución, contado desde el día siguiente al cierre de instrucción.</w:t>
      </w:r>
    </w:p>
    <w:p>
      <w:pPr>
        <w:spacing w:line="360" w:lineRule="auto"/>
        <w:jc w:val="both"/>
      </w:pPr>
      <w:r>
        <w:rPr>
          <w:rFonts w:ascii="Arial" w:hAnsi="Arial"/>
          <w:b/>
          <w:i w:val="0"/>
          <w:sz w:val="24"/>
        </w:rPr>
        <w:t>[ÚLTIMO DÍA DEL PLAZO DE CADUCIDAD]</w:t>
      </w:r>
      <w:r>
        <w:rPr>
          <w:rFonts w:ascii="Arial" w:hAnsi="Arial"/>
          <w:b w:val="0"/>
          <w:i w:val="0"/>
          <w:sz w:val="24"/>
        </w:rPr>
        <w:t>: el último día hábil del plazo de caducidad que fija la Ley Federal de Procedimiento Administrativo, contado desde el día siguiente al vencimiento anterior.</w:t>
      </w:r>
    </w:p>
    <w:p/>
    <w:p>
      <w:pPr>
        <w:spacing w:line="360" w:lineRule="auto"/>
        <w:jc w:val="both"/>
      </w:pPr>
      <w:r>
        <w:rPr>
          <w:rFonts w:ascii="Arial" w:hAnsi="Arial"/>
          <w:b/>
          <w:sz w:val="28"/>
        </w:rPr>
        <w:t>[NÚMERO ORDINAL DEL CONCEPTO] CONCEPTO DE IMPUGNACIÓN DE LA AMPLIACIÓN DE DEMANDA. La multa impuesta a la parte actora proviene de un procedimiento sancionador laboral iniciado de oficio que caducó, porque el acta con que se pretendió notificarla no asienta con quién se dejó el citatorio previo y la resolución sólo se dio a conocer en este juicio, de modo que se actualiza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La resolución </w:t>
      </w:r>
      <w:r>
        <w:rPr>
          <w:rFonts w:ascii="Arial" w:hAnsi="Arial"/>
          <w:b/>
          <w:i w:val="0"/>
          <w:sz w:val="28"/>
        </w:rPr>
        <w:t>[NÚMERO DE LA RESOLUCIÓN IMPUGNADA]</w:t>
      </w:r>
      <w:r>
        <w:rPr>
          <w:rFonts w:ascii="Arial" w:hAnsi="Arial"/>
          <w:b w:val="0"/>
          <w:i w:val="0"/>
          <w:sz w:val="28"/>
        </w:rPr>
        <w:t xml:space="preserve">, fechada el </w:t>
      </w:r>
      <w:r>
        <w:rPr>
          <w:rFonts w:ascii="Arial" w:hAnsi="Arial"/>
          <w:b/>
          <w:i w:val="0"/>
          <w:sz w:val="28"/>
        </w:rPr>
        <w:t>[FECHA DE EMISIÓN DE LA RESOLUCIÓN IMPUGNADA]</w:t>
      </w:r>
      <w:r>
        <w:rPr>
          <w:rFonts w:ascii="Arial" w:hAnsi="Arial"/>
          <w:b w:val="0"/>
          <w:i w:val="0"/>
          <w:sz w:val="28"/>
        </w:rPr>
        <w:t xml:space="preserve">, con la cual la </w:t>
      </w:r>
      <w:r>
        <w:rPr>
          <w:rFonts w:ascii="Arial" w:hAnsi="Arial"/>
          <w:b/>
          <w:i w:val="0"/>
          <w:sz w:val="28"/>
        </w:rPr>
        <w:t>[AUTORIDAD DEMANDADA]</w:t>
      </w:r>
      <w:r>
        <w:rPr>
          <w:rFonts w:ascii="Arial" w:hAnsi="Arial"/>
          <w:b w:val="0"/>
          <w:i w:val="0"/>
          <w:sz w:val="28"/>
        </w:rPr>
        <w:t xml:space="preserve"> impuso a </w:t>
      </w:r>
      <w:r>
        <w:rPr>
          <w:rFonts w:ascii="Arial" w:hAnsi="Arial"/>
          <w:b/>
          <w:i w:val="0"/>
          <w:sz w:val="28"/>
        </w:rPr>
        <w:t>[NOMBRE DE LA PARTE ACTORA]</w:t>
      </w:r>
      <w:r>
        <w:rPr>
          <w:rFonts w:ascii="Arial" w:hAnsi="Arial"/>
          <w:b w:val="0"/>
          <w:i w:val="0"/>
          <w:sz w:val="28"/>
        </w:rPr>
        <w:t xml:space="preserve"> una multa de </w:t>
      </w:r>
      <w:r>
        <w:rPr>
          <w:rFonts w:ascii="Arial" w:hAnsi="Arial"/>
          <w:b/>
          <w:i w:val="0"/>
          <w:sz w:val="28"/>
        </w:rPr>
        <w:t>[MONTO DE LA MULTA]</w:t>
      </w:r>
      <w:r>
        <w:rPr>
          <w:rFonts w:ascii="Arial" w:hAnsi="Arial"/>
          <w:b w:val="0"/>
          <w:i w:val="0"/>
          <w:sz w:val="28"/>
        </w:rPr>
        <w:t xml:space="preserve"> por presuntas violaciones a la legislación laboral, es el acto final de un procedimiento sancionador iniciado de oficio que no llegó a término válido dentro del tiempo que el orden normativo concede a la administración. La única diligencia con la que se intentó comunicarla carece de eficacia, y su destinataria la conoció hasta que se le corrió traslado con la contestación de la demanda.</w:t>
      </w:r>
    </w:p>
    <w:p>
      <w:pPr>
        <w:spacing w:line="360" w:lineRule="auto"/>
        <w:jc w:val="both"/>
      </w:pPr>
      <w:r>
        <w:rPr>
          <w:rFonts w:ascii="Arial" w:hAnsi="Arial"/>
          <w:b w:val="0"/>
          <w:i w:val="0"/>
          <w:sz w:val="28"/>
        </w:rPr>
        <w:t xml:space="preserve">La demostración descansa en dos premisas encadenadas, a saber, que el acta de </w:t>
      </w:r>
      <w:r>
        <w:rPr>
          <w:rFonts w:ascii="Arial" w:hAnsi="Arial"/>
          <w:b/>
          <w:i w:val="0"/>
          <w:sz w:val="28"/>
        </w:rPr>
        <w:t>[FECHA DEL ACTA DE NOTIFICACIÓN]</w:t>
      </w:r>
      <w:r>
        <w:rPr>
          <w:rFonts w:ascii="Arial" w:hAnsi="Arial"/>
          <w:b w:val="0"/>
          <w:i w:val="0"/>
          <w:sz w:val="28"/>
        </w:rPr>
        <w:t>, levantada con un tercero previo citatorio, omite el nombre de quien recibió ese aviso, defecto de circunstanciación que la invalida conforme al artículo 36 de la Ley Federal de Procedimiento Administrativo, y que, sin comunicación válida, el término para resolver del Reglamento General de Inspección del Trabajo y Aplicación de Sanciones y el de caducidad del precepto 60 de la ley procedimental citada transcurrieron sin que el trámite concluyera frente a la persona sancionada.</w:t>
      </w:r>
    </w:p>
    <w:p>
      <w:pPr>
        <w:spacing w:line="360" w:lineRule="auto"/>
        <w:jc w:val="both"/>
      </w:pPr>
      <w:r>
        <w:rPr>
          <w:rFonts w:ascii="Arial" w:hAnsi="Arial"/>
          <w:b w:val="0"/>
          <w:i w:val="0"/>
          <w:sz w:val="28"/>
        </w:rPr>
        <w:t>La consecuencia que se pide es la nulidad lisa y llana de la multa, con fundamento en los artículos 51, fracción IV, y 52, fracción II, de la Ley Federal de Procedimiento Contencioso Administrativo, así como el estudio preferente de este planteamiento en términos del segundo párrafo del numeral 50 del mismo ordenamiento, pues la caducidad extingue el procedimiento del que deriva la sanción y, con él, la facultad de la autoridad para resolverlo, de modo que no queda trámite alguno que reponer.</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En su escrito inicial la parte actora manifestó desconocer la resolución impugnada, conforme al artículo 16, fracción II, de la Ley Federal de Procedimiento Contencioso Administrativo, y, al contestar, la </w:t>
      </w:r>
      <w:r>
        <w:rPr>
          <w:rFonts w:ascii="Arial" w:hAnsi="Arial"/>
          <w:b/>
          <w:i w:val="0"/>
          <w:sz w:val="28"/>
        </w:rPr>
        <w:t>[AUTORIDAD DEMANDADA]</w:t>
      </w:r>
      <w:r>
        <w:rPr>
          <w:rFonts w:ascii="Arial" w:hAnsi="Arial"/>
          <w:b w:val="0"/>
          <w:i w:val="0"/>
          <w:sz w:val="28"/>
        </w:rPr>
        <w:t xml:space="preserve"> exhibió la determinación junto con la constancia de su notificación, documentos que ahora se combaten en la ampliación que autorizan las fracciones III y V del numeral 17 de ese ordenamiento, la última para el caso de que la demandada haya planteado el sobreseimiento por extemporaneidad.</w:t>
      </w:r>
    </w:p>
    <w:p>
      <w:pPr>
        <w:spacing w:line="360" w:lineRule="auto"/>
        <w:jc w:val="both"/>
      </w:pPr>
      <w:r>
        <w:rPr>
          <w:rFonts w:ascii="Arial" w:hAnsi="Arial"/>
          <w:b w:val="0"/>
          <w:i w:val="0"/>
          <w:sz w:val="28"/>
        </w:rPr>
        <w:t xml:space="preserve">El orden de estudio lo fija la fracción III del mismo artículo 16, conforme a la cual el Tribunal examinará primero los conceptos dirigidos contra la notificación y, si concluye que fue ilegal, tendrá a la persona demandante por sabedora de la resolución desde que se le dio a conocer, </w:t>
      </w:r>
      <w:r>
        <w:rPr>
          <w:rFonts w:ascii="Arial" w:hAnsi="Arial"/>
          <w:b w:val="0"/>
          <w:i/>
          <w:sz w:val="28"/>
        </w:rPr>
        <w:t>“quedando sin efectos todo lo actuado en base a dicha notificación”</w:t>
      </w:r>
      <w:r>
        <w:rPr>
          <w:rFonts w:ascii="Arial" w:hAnsi="Arial"/>
          <w:b w:val="0"/>
          <w:i w:val="0"/>
          <w:sz w:val="28"/>
        </w:rPr>
        <w:t>, para después analizar la impugnación de fondo, razón por la cual la ilegalidad del acta se plantea aquí como premisa de la caducidad que de ella depende.</w:t>
      </w:r>
    </w:p>
    <w:p>
      <w:pPr>
        <w:spacing w:line="360" w:lineRule="auto"/>
        <w:jc w:val="both"/>
      </w:pPr>
      <w:r>
        <w:rPr>
          <w:rFonts w:ascii="Arial" w:hAnsi="Arial"/>
          <w:b w:val="0"/>
          <w:i w:val="0"/>
          <w:sz w:val="28"/>
        </w:rPr>
        <w:t>Las normas cuya inobservancia se reclama son el artículo 36 de la Ley Federal de Procedimiento Administrativo, aplicable al trámite sancionador laboral por la remisión que hace el numeral 1 del Reglamento General de Inspección del Trabajo y Aplicación de Sanciones, el último párrafo del 59 de ese reglamento y los preceptos 28 y 60 de la ley procedimental, todos en relación con los dispositivos 14 y 16 de la Constitución Política de los Estados Unidos Mexicanos, que imponen respetar las formalidades esenciales y fundar y motivar todo acto de molestia.</w:t>
      </w:r>
    </w:p>
    <w:p>
      <w:pPr>
        <w:spacing w:line="360" w:lineRule="auto"/>
        <w:jc w:val="both"/>
      </w:pPr>
      <w:r>
        <w:rPr>
          <w:rFonts w:ascii="Arial" w:hAnsi="Arial"/>
          <w:b w:val="0"/>
          <w:i w:val="0"/>
          <w:sz w:val="28"/>
        </w:rPr>
        <w:t xml:space="preserve">El agravio es directo, pues al cabo de un procedimiento caducado se impuso a la parte actora una sanción pecuniaria cuyo cobro coactivo intenta </w:t>
      </w:r>
      <w:r>
        <w:rPr>
          <w:rFonts w:ascii="Arial" w:hAnsi="Arial"/>
          <w:b/>
          <w:i w:val="0"/>
          <w:sz w:val="28"/>
        </w:rPr>
        <w:t>[AUTORIDAD EJECUTORA]</w:t>
      </w:r>
      <w:r>
        <w:rPr>
          <w:rFonts w:ascii="Arial" w:hAnsi="Arial"/>
          <w:b w:val="0"/>
          <w:i w:val="0"/>
          <w:sz w:val="28"/>
        </w:rPr>
        <w:t xml:space="preserve"> mediante el procedimiento administrativo de ejecución, lo que afecta su patrimonio sin que haya tenido oportunidad de impugnar a tiempo esa sanción.</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sz w:val="28"/>
        </w:rPr>
        <w:t>A. La notificación personal con citatorio y su circunstanciación.</w:t>
      </w:r>
    </w:p>
    <w:p>
      <w:pPr>
        <w:spacing w:line="360" w:lineRule="auto"/>
        <w:jc w:val="both"/>
      </w:pPr>
      <w:r>
        <w:rPr>
          <w:rFonts w:ascii="Arial" w:hAnsi="Arial"/>
          <w:b w:val="0"/>
          <w:i w:val="0"/>
          <w:sz w:val="28"/>
        </w:rPr>
        <w:t xml:space="preserve">El Reglamento General de Inspección del Trabajo y Aplicación de Sanciones regula el emplazamiento, las pruebas, el cierre y la resolución del trámite para imponer sanciones, pero no establece la forma de practicar las notificaciones personales, laguna que colma su artículo 1, segundo párrafo, al disponer que las normas conducentes de la Ley Federal de Procedimiento Administrativo y de las leyes que regulen el procedimiento administrativo de las entidades federativas </w:t>
      </w:r>
      <w:r>
        <w:rPr>
          <w:rFonts w:ascii="Arial" w:hAnsi="Arial"/>
          <w:b w:val="0"/>
          <w:i/>
          <w:sz w:val="28"/>
        </w:rPr>
        <w:t>“se aplicarán a los procedimientos previstos en este Reglamento”</w:t>
      </w:r>
      <w:r>
        <w:rPr>
          <w:rFonts w:ascii="Arial" w:hAnsi="Arial"/>
          <w:b w:val="0"/>
          <w:i w:val="0"/>
          <w:sz w:val="28"/>
        </w:rPr>
        <w:t>.</w:t>
      </w:r>
    </w:p>
    <w:p>
      <w:pPr>
        <w:spacing w:line="360" w:lineRule="auto"/>
        <w:jc w:val="both"/>
      </w:pPr>
      <w:r>
        <w:rPr>
          <w:rFonts w:ascii="Arial" w:hAnsi="Arial"/>
          <w:b w:val="0"/>
          <w:i w:val="0"/>
          <w:sz w:val="28"/>
        </w:rPr>
        <w:t xml:space="preserve">El artículo 36 de la ley federal citada dispone que, a falta de la persona interesada y de su representante, el notificador </w:t>
      </w:r>
      <w:r>
        <w:rPr>
          <w:rFonts w:ascii="Arial" w:hAnsi="Arial"/>
          <w:b w:val="0"/>
          <w:i/>
          <w:sz w:val="28"/>
        </w:rPr>
        <w:t>“dejará citatorio con cualquier persona que se encuentre en el domicilio”</w:t>
      </w:r>
      <w:r>
        <w:rPr>
          <w:rFonts w:ascii="Arial" w:hAnsi="Arial"/>
          <w:b w:val="0"/>
          <w:i w:val="0"/>
          <w:sz w:val="28"/>
        </w:rPr>
        <w:t xml:space="preserve"> para que aquélla espere a hora fija del día hábil siguiente, que sólo si no se atiende ese aviso la diligencia se entenderá con quien se halle en el lugar y que de todas esas actuaciones el </w:t>
      </w:r>
      <w:r>
        <w:rPr>
          <w:rFonts w:ascii="Arial" w:hAnsi="Arial"/>
          <w:b w:val="0"/>
          <w:i/>
          <w:sz w:val="28"/>
        </w:rPr>
        <w:t>“notificador tomará razón por escrito”</w:t>
      </w:r>
      <w:r>
        <w:rPr>
          <w:rFonts w:ascii="Arial" w:hAnsi="Arial"/>
          <w:b w:val="0"/>
          <w:i w:val="0"/>
          <w:sz w:val="28"/>
        </w:rPr>
        <w:t>, de manera que el acta debe dar cuenta de cada paso de la secuencia.</w:t>
      </w:r>
    </w:p>
    <w:p>
      <w:pPr>
        <w:spacing w:line="360" w:lineRule="auto"/>
        <w:jc w:val="both"/>
      </w:pPr>
      <w:r>
        <w:rPr>
          <w:rFonts w:ascii="Arial" w:hAnsi="Arial"/>
          <w:b w:val="0"/>
          <w:i w:val="0"/>
          <w:sz w:val="28"/>
        </w:rPr>
        <w:t>La doctrina procesal describe la notificación como el medio de comunicación entre la autoridad y los sujetos vinculados con un procedimiento, cuyo objetivo primordial es que los actos acontecidos sin su presencia lleguen a su conocimiento, lo que hace posible la defensa, y explica que cada forma de notificar está revestida de formalidades que garantizan la tutela efectiva y el debido proceso.</w:t>
      </w:r>
      <w:r>
        <w:rPr>
          <w:rFonts w:ascii="Arial" w:hAnsi="Arial"/>
          <w:vertAlign w:val="superscript"/>
        </w:rPr>
        <w:t>1</w:t>
      </w:r>
    </w:p>
    <w:p>
      <w:pPr>
        <w:spacing w:line="360" w:lineRule="auto"/>
        <w:jc w:val="both"/>
      </w:pPr>
      <w:r>
        <w:rPr>
          <w:rFonts w:ascii="Arial" w:hAnsi="Arial"/>
          <w:b w:val="0"/>
          <w:i w:val="0"/>
          <w:sz w:val="28"/>
        </w:rPr>
        <w:t>El citatorio es la pieza que hace posible la notificación con un tercero, porque sólo a través de él la persona ausente queda enterada de que debe esperar al notificador, y cuando se deja con alguien distinto de ella, la identificación de quien lo recibió es el único dato que permite verificar que el aviso pudo llegar a su destino, de suerte que la obligación de tomar razón por escrito comprende ese nombre. En ese sentido resolvió una Sala Regional de este Tribunal un caso análogo en agosto de dos mil veintiséis, resolución aislada que se menciona sólo con valor ilustrativo y sin fuerza obligatoria.</w:t>
      </w:r>
    </w:p>
    <w:p>
      <w:pPr>
        <w:spacing w:line="360" w:lineRule="auto"/>
        <w:jc w:val="both"/>
      </w:pPr>
      <w:r>
        <w:rPr>
          <w:rFonts w:ascii="Arial" w:hAnsi="Arial"/>
          <w:b w:val="0"/>
          <w:i w:val="0"/>
          <w:sz w:val="28"/>
        </w:rPr>
        <w:t>La doctrina, al estudiar el incidente de nulidad de notificaciones en los procesos constitucionales, subraya que el actuario debe asentar en el acta el nombre de la persona con quien la entiende y que la notificación realizada sin observar esos requisitos es susceptible de declararse nula.</w:t>
      </w:r>
      <w:r>
        <w:rPr>
          <w:rFonts w:ascii="Arial" w:hAnsi="Arial"/>
          <w:vertAlign w:val="superscript"/>
        </w:rPr>
        <w:t>2</w:t>
      </w:r>
    </w:p>
    <w:p>
      <w:pPr>
        <w:spacing w:line="360" w:lineRule="auto"/>
        <w:jc w:val="both"/>
      </w:pPr>
      <w:r>
        <w:rPr>
          <w:rFonts w:ascii="Arial" w:hAnsi="Arial"/>
          <w:b/>
          <w:sz w:val="28"/>
        </w:rPr>
        <w:t>B. La caducidad del procedimiento sancionador iniciado de oficio.</w:t>
      </w:r>
    </w:p>
    <w:p>
      <w:pPr>
        <w:spacing w:line="360" w:lineRule="auto"/>
        <w:jc w:val="both"/>
      </w:pPr>
      <w:r>
        <w:rPr>
          <w:rFonts w:ascii="Arial" w:hAnsi="Arial"/>
          <w:b w:val="0"/>
          <w:i w:val="0"/>
          <w:sz w:val="28"/>
        </w:rPr>
        <w:t xml:space="preserve">Por lo que hace al trámite sancionador, el reglamento dispone en su artículo 52 que, recibida la solicitud de inicio, la autoridad emplace al patrón para que se defienda, prevé en el 58 que del auto de cierre </w:t>
      </w:r>
      <w:r>
        <w:rPr>
          <w:rFonts w:ascii="Arial" w:hAnsi="Arial"/>
          <w:b w:val="0"/>
          <w:i/>
          <w:sz w:val="28"/>
        </w:rPr>
        <w:t>“se notificará al interesado”</w:t>
      </w:r>
      <w:r>
        <w:rPr>
          <w:rFonts w:ascii="Arial" w:hAnsi="Arial"/>
          <w:b w:val="0"/>
          <w:i w:val="0"/>
          <w:sz w:val="28"/>
        </w:rPr>
        <w:t xml:space="preserve"> y ordena en el último párrafo del 59 que la resolución se dicte </w:t>
      </w:r>
      <w:r>
        <w:rPr>
          <w:rFonts w:ascii="Arial" w:hAnsi="Arial"/>
          <w:b w:val="0"/>
          <w:i/>
          <w:sz w:val="28"/>
        </w:rPr>
        <w:t>“dentro de los diez días hábiles siguientes a aquél en que se haya cerrado la instrucción del procedimiento”</w:t>
      </w:r>
      <w:r>
        <w:rPr>
          <w:rFonts w:ascii="Arial" w:hAnsi="Arial"/>
          <w:b w:val="0"/>
          <w:i w:val="0"/>
          <w:sz w:val="28"/>
        </w:rPr>
        <w:t>, de modo que se trata de un procedimiento oficioso sujeto a un término preciso para concluir.</w:t>
      </w:r>
    </w:p>
    <w:p>
      <w:pPr>
        <w:spacing w:line="360" w:lineRule="auto"/>
        <w:jc w:val="both"/>
      </w:pPr>
      <w:r>
        <w:rPr>
          <w:rFonts w:ascii="Arial" w:hAnsi="Arial"/>
          <w:b w:val="0"/>
          <w:i w:val="0"/>
          <w:sz w:val="28"/>
        </w:rPr>
        <w:t xml:space="preserve">Como el reglamento no regula la caducidad, rige supletoriamente el artículo 60, tercer párrafo, de la Ley Federal de Procedimiento Administrativo, conforme al cual los </w:t>
      </w:r>
      <w:r>
        <w:rPr>
          <w:rFonts w:ascii="Arial" w:hAnsi="Arial"/>
          <w:b w:val="0"/>
          <w:i/>
          <w:sz w:val="28"/>
        </w:rPr>
        <w:t>“procedimientos iniciados de oficio”</w:t>
      </w:r>
      <w:r>
        <w:rPr>
          <w:rFonts w:ascii="Arial" w:hAnsi="Arial"/>
          <w:b w:val="0"/>
          <w:i w:val="0"/>
          <w:sz w:val="28"/>
        </w:rPr>
        <w:t xml:space="preserve"> se </w:t>
      </w:r>
      <w:r>
        <w:rPr>
          <w:rFonts w:ascii="Arial" w:hAnsi="Arial"/>
          <w:b w:val="0"/>
          <w:i/>
          <w:sz w:val="28"/>
        </w:rPr>
        <w:t>“entenderán caducados”</w:t>
      </w:r>
      <w:r>
        <w:rPr>
          <w:rFonts w:ascii="Arial" w:hAnsi="Arial"/>
          <w:b w:val="0"/>
          <w:i w:val="0"/>
          <w:sz w:val="28"/>
        </w:rPr>
        <w:t xml:space="preserve"> y se archivarán, a petición de parte o de oficio, </w:t>
      </w:r>
      <w:r>
        <w:rPr>
          <w:rFonts w:ascii="Arial" w:hAnsi="Arial"/>
          <w:b w:val="0"/>
          <w:i/>
          <w:sz w:val="28"/>
        </w:rPr>
        <w:t>“en el plazo de 30 días contados a partir de la expiración del plazo para dictar resolución”</w:t>
      </w:r>
      <w:r>
        <w:rPr>
          <w:rFonts w:ascii="Arial" w:hAnsi="Arial"/>
          <w:b w:val="0"/>
          <w:i w:val="0"/>
          <w:sz w:val="28"/>
        </w:rPr>
        <w:t xml:space="preserve">, días que son hábiles porque el numeral 28 de esa ley establece que </w:t>
      </w:r>
      <w:r>
        <w:rPr>
          <w:rFonts w:ascii="Arial" w:hAnsi="Arial"/>
          <w:b w:val="0"/>
          <w:i/>
          <w:sz w:val="28"/>
        </w:rPr>
        <w:t>“en los plazos fijados en días no se contarán los inhábiles”</w:t>
      </w:r>
      <w:r>
        <w:rPr>
          <w:rFonts w:ascii="Arial" w:hAnsi="Arial"/>
          <w:b w:val="0"/>
          <w:i w:val="0"/>
          <w:sz w:val="28"/>
        </w:rPr>
        <w:t>.</w:t>
      </w:r>
    </w:p>
    <w:p>
      <w:pPr>
        <w:spacing w:line="360" w:lineRule="auto"/>
        <w:jc w:val="both"/>
      </w:pPr>
      <w:r>
        <w:rPr>
          <w:rFonts w:ascii="Arial" w:hAnsi="Arial"/>
          <w:b w:val="0"/>
          <w:i w:val="0"/>
          <w:sz w:val="28"/>
        </w:rPr>
        <w:t>La caducidad, en la definición que recoge la doctrina procesal, es la extinción de una facultad por el mero transcurso del plazo que la ley configura como carga para su ejercicio oportuno, de modo que la facultad de la administración laboral para resolver el procedimiento sancionador, que nace sujeta a un término, se extingue de pleno derecho cuando éste se agota sin que aquél haya concluido.</w:t>
      </w:r>
      <w:r>
        <w:rPr>
          <w:rFonts w:ascii="Arial" w:hAnsi="Arial"/>
          <w:vertAlign w:val="superscript"/>
        </w:rPr>
        <w:t>3</w:t>
      </w:r>
    </w:p>
    <w:p>
      <w:pPr>
        <w:spacing w:line="360" w:lineRule="auto"/>
        <w:jc w:val="both"/>
      </w:pPr>
      <w:r>
        <w:rPr>
          <w:rFonts w:ascii="Arial" w:hAnsi="Arial"/>
          <w:b w:val="0"/>
          <w:i w:val="0"/>
          <w:sz w:val="28"/>
        </w:rPr>
        <w:t>Ahora bien, un procedimiento sancionador concluye frente a la persona a quien se dirige cuando la resolución final le es comunicada en forma legal, porque sólo entonces la sanción existe para ella y puede impugnarla, y así lo confirma el propio reglamento al exigir que incluso el auto de cierre se notifique al interesado, de modo que la firma de una determinación que permanece en el expediente, o que se comunica mediante una diligencia inválida, no detiene el curso de la caducidad.</w:t>
      </w:r>
    </w:p>
    <w:p>
      <w:pPr>
        <w:spacing w:line="360" w:lineRule="auto"/>
        <w:jc w:val="both"/>
      </w:pPr>
      <w:r>
        <w:rPr>
          <w:rFonts w:ascii="Arial" w:hAnsi="Arial"/>
          <w:b w:val="0"/>
          <w:i w:val="0"/>
          <w:sz w:val="28"/>
        </w:rPr>
        <w:t xml:space="preserve">La Ley Federal de Procedimiento Contencioso Administrativo confirma esa lectura, pues, al regular el cumplimiento de sentencias, su artículo 58, fracción II, inciso a), numeral 2, hace procedente la queja contra la resolución definitiva que concluye un procedimiento oficioso </w:t>
      </w:r>
      <w:r>
        <w:rPr>
          <w:rFonts w:ascii="Arial" w:hAnsi="Arial"/>
          <w:b w:val="0"/>
          <w:i/>
          <w:sz w:val="28"/>
        </w:rPr>
        <w:t>“emitida y notificada después de concluido el plazo”</w:t>
      </w:r>
      <w:r>
        <w:rPr>
          <w:rFonts w:ascii="Arial" w:hAnsi="Arial"/>
          <w:b w:val="0"/>
          <w:i w:val="0"/>
          <w:sz w:val="28"/>
        </w:rPr>
        <w:t xml:space="preserve">, con lo cual el legislador mide la oportunidad de la autoridad con ambos actos, y así se resolvió el caso análogo antes referido, donde el término reglamentario se entendió como el que la administración tenía </w:t>
      </w:r>
      <w:r>
        <w:rPr>
          <w:rFonts w:ascii="Arial" w:hAnsi="Arial"/>
          <w:b w:val="0"/>
          <w:i/>
          <w:sz w:val="28"/>
        </w:rPr>
        <w:t>“para emitir y notificar la correspondiente resolución de imposición de sanciones”</w:t>
      </w:r>
      <w:r>
        <w:rPr>
          <w:rFonts w:ascii="Arial" w:hAnsi="Arial"/>
          <w:b w:val="0"/>
          <w:i w:val="0"/>
          <w:sz w:val="28"/>
        </w:rPr>
        <w:t>.</w:t>
      </w:r>
    </w:p>
    <w:p>
      <w:pPr>
        <w:spacing w:line="360" w:lineRule="auto"/>
        <w:jc w:val="both"/>
      </w:pPr>
      <w:r>
        <w:rPr>
          <w:rFonts w:ascii="Arial" w:hAnsi="Arial"/>
          <w:b w:val="0"/>
          <w:i w:val="0"/>
          <w:sz w:val="28"/>
        </w:rPr>
        <w:t>La fracción III del artículo 16 de la ley procesal administrativa refuerza la conclusión, pues la declaratoria de ilegalidad de la notificación deja sin efectos todo lo actuado con base en ella, de manera que la autoridad no puede invocar esa diligencia como el acto que cerró el procedimiento ni como el punto de partida de plazo alguno en contra de la parte actora.</w:t>
      </w:r>
    </w:p>
    <w:p>
      <w:pPr>
        <w:spacing w:line="360" w:lineRule="auto"/>
        <w:jc w:val="both"/>
      </w:pPr>
      <w:r>
        <w:rPr>
          <w:rFonts w:ascii="Arial" w:hAnsi="Arial"/>
          <w:b/>
          <w:sz w:val="28"/>
        </w:rPr>
        <w:t>IV. Aplicación al caso concreto y refutación de la postura de la autoridad.</w:t>
      </w:r>
    </w:p>
    <w:p>
      <w:pPr>
        <w:spacing w:line="360" w:lineRule="auto"/>
        <w:jc w:val="both"/>
      </w:pPr>
      <w:r>
        <w:rPr>
          <w:rFonts w:ascii="Arial" w:hAnsi="Arial"/>
          <w:b w:val="0"/>
          <w:i w:val="0"/>
          <w:sz w:val="28"/>
        </w:rPr>
        <w:t xml:space="preserve">De las constancias exhibidas por la </w:t>
      </w:r>
      <w:r>
        <w:rPr>
          <w:rFonts w:ascii="Arial" w:hAnsi="Arial"/>
          <w:b/>
          <w:i w:val="0"/>
          <w:sz w:val="28"/>
        </w:rPr>
        <w:t>[AUTORIDAD DEMANDADA]</w:t>
      </w:r>
      <w:r>
        <w:rPr>
          <w:rFonts w:ascii="Arial" w:hAnsi="Arial"/>
          <w:b w:val="0"/>
          <w:i w:val="0"/>
          <w:sz w:val="28"/>
        </w:rPr>
        <w:t xml:space="preserve"> se advierte que el procedimiento sancionador inició con el emplazamiento notificado el </w:t>
      </w:r>
      <w:r>
        <w:rPr>
          <w:rFonts w:ascii="Arial" w:hAnsi="Arial"/>
          <w:b/>
          <w:i w:val="0"/>
          <w:sz w:val="28"/>
        </w:rPr>
        <w:t>[FECHA DEL EMPLAZAMIENTO AL PROCEDIMIENTO SANCIONADOR]</w:t>
      </w:r>
      <w:r>
        <w:rPr>
          <w:rFonts w:ascii="Arial" w:hAnsi="Arial"/>
          <w:b w:val="0"/>
          <w:i w:val="0"/>
          <w:sz w:val="28"/>
        </w:rPr>
        <w:t xml:space="preserve">, que el </w:t>
      </w:r>
      <w:r>
        <w:rPr>
          <w:rFonts w:ascii="Arial" w:hAnsi="Arial"/>
          <w:b/>
          <w:i w:val="0"/>
          <w:sz w:val="28"/>
        </w:rPr>
        <w:t>[FECHA DEL ACUERDO DE CIERRE DE INSTRUCCIÓN]</w:t>
      </w:r>
      <w:r>
        <w:rPr>
          <w:rFonts w:ascii="Arial" w:hAnsi="Arial"/>
          <w:b w:val="0"/>
          <w:i w:val="0"/>
          <w:sz w:val="28"/>
        </w:rPr>
        <w:t xml:space="preserve"> se dictó el acuerdo de cierre, que la multa se emitió el </w:t>
      </w:r>
      <w:r>
        <w:rPr>
          <w:rFonts w:ascii="Arial" w:hAnsi="Arial"/>
          <w:b/>
          <w:i w:val="0"/>
          <w:sz w:val="28"/>
        </w:rPr>
        <w:t>[FECHA DE EMISIÓN DE LA RESOLUCIÓN IMPUGNADA]</w:t>
      </w:r>
      <w:r>
        <w:rPr>
          <w:rFonts w:ascii="Arial" w:hAnsi="Arial"/>
          <w:b w:val="0"/>
          <w:i w:val="0"/>
          <w:sz w:val="28"/>
        </w:rPr>
        <w:t xml:space="preserve"> y que su notificación se intentó el </w:t>
      </w:r>
      <w:r>
        <w:rPr>
          <w:rFonts w:ascii="Arial" w:hAnsi="Arial"/>
          <w:b/>
          <w:i w:val="0"/>
          <w:sz w:val="28"/>
        </w:rPr>
        <w:t>[FECHA DEL ACTA DE NOTIFICACIÓN]</w:t>
      </w:r>
      <w:r>
        <w:rPr>
          <w:rFonts w:ascii="Arial" w:hAnsi="Arial"/>
          <w:b w:val="0"/>
          <w:i w:val="0"/>
          <w:sz w:val="28"/>
        </w:rPr>
        <w:t xml:space="preserve"> con una persona distinta de la interesada, previo citatorio.</w:t>
      </w:r>
    </w:p>
    <w:p>
      <w:pPr>
        <w:spacing w:line="360" w:lineRule="auto"/>
        <w:jc w:val="both"/>
      </w:pPr>
      <w:r>
        <w:rPr>
          <w:rFonts w:ascii="Arial" w:hAnsi="Arial"/>
          <w:b w:val="0"/>
          <w:i w:val="0"/>
          <w:sz w:val="28"/>
        </w:rPr>
        <w:t xml:space="preserve">El acta de notificación, visible a </w:t>
      </w:r>
      <w:r>
        <w:rPr>
          <w:rFonts w:ascii="Arial" w:hAnsi="Arial"/>
          <w:b/>
          <w:i w:val="0"/>
          <w:sz w:val="28"/>
        </w:rPr>
        <w:t>[FOLIO DEL ACTA DE NOTIFICACIÓN EN AUTOS]</w:t>
      </w:r>
      <w:r>
        <w:rPr>
          <w:rFonts w:ascii="Arial" w:hAnsi="Arial"/>
          <w:b w:val="0"/>
          <w:i w:val="0"/>
          <w:sz w:val="28"/>
        </w:rPr>
        <w:t>, relata que el día previo se dejó citatorio en el domicilio y que, al no atenderse, la diligencia se entendió con un tercero, pero en ninguna de sus líneas consigna el nombre ni algún otro dato que identifique a quien recibió ese aviso, omisión que impide saber si llegó a una persona capaz de transmitirlo y, por ende, si se actualizó el presupuesto que autorizaba entender la comunicación con alguien ajeno.</w:t>
      </w:r>
    </w:p>
    <w:p>
      <w:pPr>
        <w:spacing w:line="360" w:lineRule="auto"/>
        <w:jc w:val="both"/>
      </w:pPr>
      <w:r>
        <w:rPr>
          <w:rFonts w:ascii="Arial" w:hAnsi="Arial"/>
          <w:b w:val="0"/>
          <w:i w:val="0"/>
          <w:sz w:val="28"/>
        </w:rPr>
        <w:t xml:space="preserve">La falta de ese dato no puede tenerse por intrascendente ni siquiera trasladando por analogía la salvedad del inciso c) del artículo 51 de la Ley Federal de Procedimiento Contencioso Administrativo, porque ese supuesto sólo tolera vicios en la entrega del citatorio </w:t>
      </w:r>
      <w:r>
        <w:rPr>
          <w:rFonts w:ascii="Arial" w:hAnsi="Arial"/>
          <w:b w:val="0"/>
          <w:i/>
          <w:sz w:val="28"/>
        </w:rPr>
        <w:t>“siempre que la diligencia prevista en dicho citatorio se haya entendido directamente con la persona interesada o con su representante legal”</w:t>
      </w:r>
      <w:r>
        <w:rPr>
          <w:rFonts w:ascii="Arial" w:hAnsi="Arial"/>
          <w:b w:val="0"/>
          <w:i w:val="0"/>
          <w:sz w:val="28"/>
        </w:rPr>
        <w:t>, hipótesis contraria a la de autos, donde la notificación se practicó con un tercero.</w:t>
      </w:r>
    </w:p>
    <w:p>
      <w:pPr>
        <w:spacing w:line="360" w:lineRule="auto"/>
        <w:jc w:val="both"/>
      </w:pPr>
      <w:r>
        <w:rPr>
          <w:rFonts w:ascii="Arial" w:hAnsi="Arial"/>
          <w:b w:val="0"/>
          <w:i w:val="0"/>
          <w:sz w:val="28"/>
        </w:rPr>
        <w:t xml:space="preserve">La notificación es, por tanto, ilegal y, por virtud de la fracción III del artículo 16 de la ley procesal administrativa, la parte actora debe tenerse por sabedora de la resolución desde el </w:t>
      </w:r>
      <w:r>
        <w:rPr>
          <w:rFonts w:ascii="Arial" w:hAnsi="Arial"/>
          <w:b/>
          <w:i w:val="0"/>
          <w:sz w:val="28"/>
        </w:rPr>
        <w:t>[FECHA EN QUE LA PARTE ACTORA CONOCIÓ LA RESOLUCIÓN]</w:t>
      </w:r>
      <w:r>
        <w:rPr>
          <w:rFonts w:ascii="Arial" w:hAnsi="Arial"/>
          <w:b w:val="0"/>
          <w:i w:val="0"/>
          <w:sz w:val="28"/>
        </w:rPr>
        <w:t>, día en que se le notificó el acuerdo que le corrió traslado con la contestación, lo que priva de sustento cualquier alegato de extemporaneidad, pues el plazo de treinta días del numeral 13, fracción I, inciso a), del mismo ordenamiento, o del 58-2, párrafo tercero, en la vía sumaria, sólo pudo computarse a partir de ese conocimiento.</w:t>
      </w:r>
    </w:p>
    <w:p>
      <w:pPr>
        <w:spacing w:line="360" w:lineRule="auto"/>
        <w:jc w:val="both"/>
      </w:pPr>
      <w:r>
        <w:rPr>
          <w:rFonts w:ascii="Arial" w:hAnsi="Arial"/>
          <w:b w:val="0"/>
          <w:i w:val="0"/>
          <w:sz w:val="28"/>
        </w:rPr>
        <w:t xml:space="preserve">El cómputo de la caducidad es aritmético, ya que el cierre de instrucción se dictó el </w:t>
      </w:r>
      <w:r>
        <w:rPr>
          <w:rFonts w:ascii="Arial" w:hAnsi="Arial"/>
          <w:b/>
          <w:i w:val="0"/>
          <w:sz w:val="28"/>
        </w:rPr>
        <w:t>[FECHA DEL ACUERDO DE CIERRE DE INSTRUCCIÓN]</w:t>
      </w:r>
      <w:r>
        <w:rPr>
          <w:rFonts w:ascii="Arial" w:hAnsi="Arial"/>
          <w:b w:val="0"/>
          <w:i w:val="0"/>
          <w:sz w:val="28"/>
        </w:rPr>
        <w:t xml:space="preserve">, el término reglamentario para resolver venció el </w:t>
      </w:r>
      <w:r>
        <w:rPr>
          <w:rFonts w:ascii="Arial" w:hAnsi="Arial"/>
          <w:b/>
          <w:i w:val="0"/>
          <w:sz w:val="28"/>
        </w:rPr>
        <w:t>[FECHA EN QUE VENCIÓ EL PLAZO PARA RESOLVER]</w:t>
      </w:r>
      <w:r>
        <w:rPr>
          <w:rFonts w:ascii="Arial" w:hAnsi="Arial"/>
          <w:b w:val="0"/>
          <w:i w:val="0"/>
          <w:sz w:val="28"/>
        </w:rPr>
        <w:t xml:space="preserve">, los días hábiles del artículo 60, tercer párrafo, de la Ley Federal de Procedimiento Administrativo corrieron desde el día siguiente y se agotaron el </w:t>
      </w:r>
      <w:r>
        <w:rPr>
          <w:rFonts w:ascii="Arial" w:hAnsi="Arial"/>
          <w:b/>
          <w:i w:val="0"/>
          <w:sz w:val="28"/>
        </w:rPr>
        <w:t>[ÚLTIMO DÍA DEL PLAZO DE CADUCIDAD]</w:t>
      </w:r>
      <w:r>
        <w:rPr>
          <w:rFonts w:ascii="Arial" w:hAnsi="Arial"/>
          <w:b w:val="0"/>
          <w:i w:val="0"/>
          <w:sz w:val="28"/>
        </w:rPr>
        <w:t xml:space="preserve">, y la sanción sólo llegó a conocimiento de su destinataria el </w:t>
      </w:r>
      <w:r>
        <w:rPr>
          <w:rFonts w:ascii="Arial" w:hAnsi="Arial"/>
          <w:b/>
          <w:i w:val="0"/>
          <w:sz w:val="28"/>
        </w:rPr>
        <w:t>[FECHA EN QUE LA PARTE ACTORA CONOCIÓ LA RESOLUCIÓN]</w:t>
      </w:r>
      <w:r>
        <w:rPr>
          <w:rFonts w:ascii="Arial" w:hAnsi="Arial"/>
          <w:b w:val="0"/>
          <w:i w:val="0"/>
          <w:sz w:val="28"/>
        </w:rPr>
        <w:t>, cuando el procedimiento ya se entendía caducado por ministerio de ley.</w:t>
      </w:r>
    </w:p>
    <w:p>
      <w:pPr>
        <w:spacing w:line="360" w:lineRule="auto"/>
        <w:jc w:val="both"/>
      </w:pPr>
      <w:r>
        <w:rPr>
          <w:rFonts w:ascii="Arial" w:hAnsi="Arial"/>
          <w:b w:val="0"/>
          <w:i w:val="0"/>
          <w:sz w:val="28"/>
        </w:rPr>
        <w:t>Carece de relevancia que la multa tenga una fecha de emisión comprendida dentro del término para resolver, porque una determinación cuya única comunicación quedó sin efectos no produjo consecuencia alguna frente a la parte actora ni puso fin al trámite respecto de ella, de modo que la inactividad que sanciona la norma supletoria se prolongó, jurídicamente, hasta que la sanción se dio a conocer en este juicio.</w:t>
      </w:r>
    </w:p>
    <w:p>
      <w:pPr>
        <w:spacing w:line="360" w:lineRule="auto"/>
        <w:jc w:val="both"/>
      </w:pPr>
      <w:r>
        <w:rPr>
          <w:rFonts w:ascii="Arial" w:hAnsi="Arial"/>
          <w:b w:val="0"/>
          <w:i w:val="0"/>
          <w:sz w:val="28"/>
        </w:rPr>
        <w:t>La postura de la autoridad, según la cual la caducidad no pudo operar porque la resolución se notificó debidamente, incurre en petición de principio, falacia que consiste en tener por demostrado, mediante la propia afirmación, aquello que precisamente debía probarse, pues la legalidad de la notificación es justamente el punto controvertido en esta ampliación y la demandada la usa como premisa para concluir que su facultad seguía viva.</w:t>
      </w:r>
      <w:r>
        <w:rPr>
          <w:rFonts w:ascii="Arial" w:hAnsi="Arial"/>
          <w:vertAlign w:val="superscript"/>
        </w:rPr>
        <w:t>4</w:t>
      </w:r>
    </w:p>
    <w:p>
      <w:pPr>
        <w:spacing w:line="360" w:lineRule="auto"/>
        <w:jc w:val="both"/>
      </w:pPr>
      <w:r>
        <w:rPr>
          <w:rFonts w:ascii="Arial" w:hAnsi="Arial"/>
          <w:b w:val="0"/>
          <w:i w:val="0"/>
          <w:sz w:val="28"/>
        </w:rPr>
        <w:t>La presunción de legalidad de los actos administrativos no remedia la omisión, porque las presunciones relativas, en su configuración tradicional, condicionan la aplicación de lo presumido a la acreditación de uno o varios hechos base y se distinguen por su efecto sobre la carga probatoria, y aquí ese presupuesto, la entrega del citatorio a una persona identificada, no consta en el acta, además de que el artículo 16, fracción II, de la ley procesal administrativa impone a la autoridad exhibir la constancia de notificación cuando la parte actora niega conocer la determinación.</w:t>
      </w:r>
      <w:r>
        <w:rPr>
          <w:rFonts w:ascii="Arial" w:hAnsi="Arial"/>
          <w:vertAlign w:val="superscript"/>
        </w:rPr>
        <w:t>5</w:t>
      </w:r>
    </w:p>
    <w:p>
      <w:pPr>
        <w:spacing w:line="360" w:lineRule="auto"/>
        <w:jc w:val="both"/>
      </w:pPr>
      <w:r>
        <w:rPr>
          <w:rFonts w:ascii="Arial" w:hAnsi="Arial"/>
          <w:b w:val="0"/>
          <w:i w:val="0"/>
          <w:sz w:val="28"/>
        </w:rPr>
        <w:t>El argumento de que basta con que la resolución se haya firmado dentro del término reglamentario elude la cuestión, falacia conocida como ignoratio elenchi, que consiste en probar algo diferente de lo que se discute, porque la litis versa sobre si el procedimiento concluyó válidamente frente a su destinataria antes de caducar, y la fecha interna de firma de un acto nunca comunicado en forma legal nada revela al respecto.</w:t>
      </w:r>
      <w:r>
        <w:rPr>
          <w:rFonts w:ascii="Arial" w:hAnsi="Arial"/>
          <w:vertAlign w:val="superscript"/>
        </w:rPr>
        <w:t>6</w:t>
      </w:r>
    </w:p>
    <w:p>
      <w:pPr>
        <w:spacing w:line="360" w:lineRule="auto"/>
        <w:jc w:val="both"/>
      </w:pPr>
      <w:r>
        <w:rPr>
          <w:rFonts w:ascii="Arial" w:hAnsi="Arial"/>
          <w:b w:val="0"/>
          <w:i w:val="0"/>
          <w:sz w:val="28"/>
        </w:rPr>
        <w:t>Admitir la postura contraria permitiría a la autoridad firmar la sanción en tiempo, comunicarla mediante una diligencia defectuosa y mantener abierto indefinidamente un procedimiento que la norma quiso breve, con lo cual su duración dependería de la propia administración, en contravención a la seguridad jurídica y a las formalidades esenciales que tutelan los artículos 14 y 16 constitucionales.</w:t>
      </w:r>
    </w:p>
    <w:p>
      <w:pPr>
        <w:spacing w:line="360" w:lineRule="auto"/>
        <w:jc w:val="both"/>
      </w:pPr>
      <w:r>
        <w:rPr>
          <w:rFonts w:ascii="Arial" w:hAnsi="Arial"/>
          <w:b/>
          <w:sz w:val="28"/>
        </w:rPr>
        <w:t>V. Conclusión y petición.</w:t>
      </w:r>
    </w:p>
    <w:p>
      <w:pPr>
        <w:spacing w:line="360" w:lineRule="auto"/>
        <w:jc w:val="both"/>
      </w:pPr>
      <w:r>
        <w:rPr>
          <w:rFonts w:ascii="Arial" w:hAnsi="Arial"/>
          <w:b w:val="0"/>
          <w:i w:val="0"/>
          <w:sz w:val="28"/>
        </w:rPr>
        <w:t xml:space="preserve">Por lo expuesto, se solicita a esa Sala Regional que, en términos de la fracción III del artículo 16 de la Ley Federal de Procedimiento Contencioso Administrativo, declare ilegal la notificación practicada el </w:t>
      </w:r>
      <w:r>
        <w:rPr>
          <w:rFonts w:ascii="Arial" w:hAnsi="Arial"/>
          <w:b/>
          <w:i w:val="0"/>
          <w:sz w:val="28"/>
        </w:rPr>
        <w:t>[FECHA DEL ACTA DE NOTIFICACIÓN]</w:t>
      </w:r>
      <w:r>
        <w:rPr>
          <w:rFonts w:ascii="Arial" w:hAnsi="Arial"/>
          <w:b w:val="0"/>
          <w:i w:val="0"/>
          <w:sz w:val="28"/>
        </w:rPr>
        <w:t xml:space="preserve"> y tenga a la parte actora como sabedora de la resolución desde el </w:t>
      </w:r>
      <w:r>
        <w:rPr>
          <w:rFonts w:ascii="Arial" w:hAnsi="Arial"/>
          <w:b/>
          <w:i w:val="0"/>
          <w:sz w:val="28"/>
        </w:rPr>
        <w:t>[FECHA EN QUE LA PARTE ACTORA CONOCIÓ LA RESOLUCIÓN]</w:t>
      </w:r>
      <w:r>
        <w:rPr>
          <w:rFonts w:ascii="Arial" w:hAnsi="Arial"/>
          <w:b w:val="0"/>
          <w:i w:val="0"/>
          <w:sz w:val="28"/>
        </w:rPr>
        <w:t>, con la consecuente ineficacia de lo actuado con base en esa diligencia.</w:t>
      </w:r>
    </w:p>
    <w:p>
      <w:pPr>
        <w:spacing w:line="360" w:lineRule="auto"/>
        <w:jc w:val="both"/>
      </w:pPr>
      <w:r>
        <w:rPr>
          <w:rFonts w:ascii="Arial" w:hAnsi="Arial"/>
          <w:b w:val="0"/>
          <w:i w:val="0"/>
          <w:sz w:val="28"/>
        </w:rPr>
        <w:t xml:space="preserve">Se pide también que estudie este concepto con preferencia, conforme al segundo párrafo del numeral 50 de esa ley, que ordena examinar primero los planteamientos que </w:t>
      </w:r>
      <w:r>
        <w:rPr>
          <w:rFonts w:ascii="Arial" w:hAnsi="Arial"/>
          <w:b w:val="0"/>
          <w:i/>
          <w:sz w:val="28"/>
        </w:rPr>
        <w:t>“puedan llevar a declarar la nulidad lisa y llana”</w:t>
      </w:r>
      <w:r>
        <w:rPr>
          <w:rFonts w:ascii="Arial" w:hAnsi="Arial"/>
          <w:b w:val="0"/>
          <w:i w:val="0"/>
          <w:sz w:val="28"/>
        </w:rPr>
        <w:t xml:space="preserve">, y que, al tener por consumada la caducidad del procedimiento sancionador, anule en forma lisa y llana la resolución </w:t>
      </w:r>
      <w:r>
        <w:rPr>
          <w:rFonts w:ascii="Arial" w:hAnsi="Arial"/>
          <w:b/>
          <w:i w:val="0"/>
          <w:sz w:val="28"/>
        </w:rPr>
        <w:t>[NÚMERO DE LA RESOLUCIÓN IMPUGNADA]</w:t>
      </w:r>
      <w:r>
        <w:rPr>
          <w:rFonts w:ascii="Arial" w:hAnsi="Arial"/>
          <w:b w:val="0"/>
          <w:i w:val="0"/>
          <w:sz w:val="28"/>
        </w:rPr>
        <w:t xml:space="preserve"> con apoyo en los artículos 51, fracción IV, y 52, fracción II, del propio ordenamiento.</w:t>
      </w:r>
    </w:p>
    <w:p>
      <w:pPr>
        <w:spacing w:line="360" w:lineRule="auto"/>
        <w:jc w:val="both"/>
      </w:pPr>
      <w:r>
        <w:rPr>
          <w:rFonts w:ascii="Arial" w:hAnsi="Arial"/>
          <w:b w:val="0"/>
          <w:i w:val="0"/>
          <w:sz w:val="28"/>
        </w:rPr>
        <w:t xml:space="preserve">La anulación debe ser lisa y llana y apoyarse en la fracción IV del artículo 51, porque su causa es la extinción, por caducidad, del procedimiento del que deriva la sanción, mientras que, si descansara en las fracciones II o III de ese precepto, el numeral 52, fracción IV, la vincularía a la reposición del procedimiento o a la emisión de una nueva resolución, y el 57, fracción I, inciso b), concedería a la autoridad un término para hacerlo aun cuando </w:t>
      </w:r>
      <w:r>
        <w:rPr>
          <w:rFonts w:ascii="Arial" w:hAnsi="Arial"/>
          <w:b w:val="0"/>
          <w:i/>
          <w:sz w:val="28"/>
        </w:rPr>
        <w:t>“hayan transcurrido los plazos de caducidad o prescripción previstos en la Ley de la materia que rija el acto impugnado”</w:t>
      </w:r>
      <w:r>
        <w:rPr>
          <w:rFonts w:ascii="Arial" w:hAnsi="Arial"/>
          <w:b w:val="0"/>
          <w:i w:val="0"/>
          <w:sz w:val="28"/>
        </w:rPr>
        <w:t>.</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1561.</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FERRER MAC-GREGOR, op. cit.</w:t>
      </w:r>
      <w:r>
        <w:rPr>
          <w:rFonts w:ascii="Arial" w:hAnsi="Arial"/>
          <w:i w:val="0"/>
          <w:sz w:val="20"/>
        </w:rPr>
        <w:t>, p. 1193.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189.</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77.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