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MULTA FISCAL QUE DEBIÓ SER SÓLO UN APERCIBIMIENTO (ARTÍCULO 20-A DE LA LEY DEL SERVICIO DE ADMINISTRACIÓN TRIBUTARIA)</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úsalo como concepto de impugnación de tu demanda de nulidad; por ser el de mayor beneficio, colócalo en primer lugar.</w:t>
      </w:r>
    </w:p>
    <w:p>
      <w:pPr>
        <w:spacing w:line="360" w:lineRule="auto"/>
        <w:jc w:val="both"/>
      </w:pPr>
      <w:r>
        <w:rPr>
          <w:rFonts w:ascii="Arial" w:hAnsi="Arial"/>
          <w:b w:val="0"/>
          <w:i w:val="0"/>
          <w:sz w:val="24"/>
        </w:rPr>
        <w:t>Antes de llenarlo, verifica que tu asunto reúna los cuatro elementos que el machote da por probados: la conducta debe haberse descubierto con motivo del ejercicio de facultades de comprobación; la multa no debe exceder del equivalente a 3,500 unidades de inversión a la fecha en que se impuso; debe ser la mínima del rango legal y sin agravantes, y la persona multada no debe haber recibido antes ese beneficio. Si falta alguno, el concepto pierde fuerza y conviene replantearlo.</w:t>
      </w:r>
    </w:p>
    <w:p>
      <w:pPr>
        <w:spacing w:line="360" w:lineRule="auto"/>
        <w:jc w:val="both"/>
      </w:pPr>
      <w:r>
        <w:rPr>
          <w:rFonts w:ascii="Arial" w:hAnsi="Arial"/>
          <w:b w:val="0"/>
          <w:i w:val="0"/>
          <w:sz w:val="24"/>
        </w:rPr>
        <w:t>Haz el cálculo de las unidades de inversión con el valor que publica el Banco de México para la fecha de la resolución que impuso la multa, multiplica por 3,500 y anexa la impresión de la consulta. En el caso que inspira el machote, la unidad valía 8.530154 el 6 de agosto de 2025, de modo que, según la sentencia, 3,500 unidades equivalían a $29,855.53 y la multa de $18,360.00 quedaba por debajo; con tu fecha el resultado será otro.</w:t>
      </w:r>
    </w:p>
    <w:p>
      <w:pPr>
        <w:spacing w:line="360" w:lineRule="auto"/>
        <w:jc w:val="both"/>
      </w:pPr>
      <w:r>
        <w:rPr>
          <w:rFonts w:ascii="Arial" w:hAnsi="Arial"/>
          <w:b w:val="0"/>
          <w:i w:val="0"/>
          <w:sz w:val="24"/>
        </w:rPr>
        <w:t>Cuida el punto que la sentencia dejó sin desarrollar, que es cómo se descubrió la infracción. Describe en el campo correspondiente la actuación concreta de la autoridad y revisa el texto vigente del Código Fiscal de la Federación sobre los comunicados que la autoridad envía para promover el cumplimiento, porque podría sostener que su actuación no constituyó ejercicio de facultades de comprobación; si lo plantea, tendrás que responderlo con las constancias.</w:t>
      </w:r>
    </w:p>
    <w:p>
      <w:pPr>
        <w:spacing w:line="360" w:lineRule="auto"/>
        <w:jc w:val="both"/>
      </w:pPr>
      <w:r>
        <w:rPr>
          <w:rFonts w:ascii="Arial" w:hAnsi="Arial"/>
          <w:b w:val="0"/>
          <w:i w:val="0"/>
          <w:sz w:val="24"/>
        </w:rPr>
        <w:t>Confirma el texto vigente del artículo 20-A de la Ley del Servicio de Administración Tributaria en el Diario Oficial de la Federación (el machote transcribe el que aplicó la Sala) y el inciso exacto del artículo 82 del Código Fiscal de la Federación que se te aplicó, copiado de la resolución sancionadora, porque los preceptos pudieron reformarse después de la multa del caso que inspira el machote. Si quieres reforzar el argumento sistemático con un ejemplo, cita algún precepto vigente de ese Código que califique expresamente una facultad como discrecional, tras verificar su texto.</w:t>
      </w:r>
    </w:p>
    <w:p>
      <w:pPr>
        <w:spacing w:line="360" w:lineRule="auto"/>
        <w:jc w:val="both"/>
      </w:pPr>
      <w:r>
        <w:rPr>
          <w:rFonts w:ascii="Arial" w:hAnsi="Arial"/>
          <w:b w:val="0"/>
          <w:i w:val="0"/>
          <w:sz w:val="24"/>
        </w:rPr>
        <w:t>Determina la vía. Si la multa no excede de treinta veces la Unidad de Medida y Actualización elevada al año, vigente al emitirse, el juicio procede en la vía sumaria (artículo 58-2, párrafo primero, de la Ley Federal de Procedimiento Contencioso Administrativo, reformado el 9 de junio de 2026). En cualquiera de las dos vías la demanda se presenta en treinta días: artículo 58-2, párrafo tercero, para la sumaria, y artículo 13, fracción I, inciso a), para la ordinaria.</w:t>
      </w:r>
    </w:p>
    <w:p>
      <w:pPr>
        <w:spacing w:line="360" w:lineRule="auto"/>
        <w:jc w:val="both"/>
      </w:pPr>
      <w:r>
        <w:rPr>
          <w:rFonts w:ascii="Arial" w:hAnsi="Arial"/>
          <w:b w:val="0"/>
          <w:i w:val="0"/>
          <w:sz w:val="24"/>
        </w:rPr>
        <w:t>El machote alude a la sentencia sólo como asunto análogo, sin datos de identificación ni fuerza de autoridad, y no cita las tesis ni las ejecutorias que ésta invoca, porque es el criterio de una Sala Regional, ilustrativo y no obligatorio. Si quieres apoyarte en ella o en esos precedentes, localízalos y verifica su texto y vigencia antes de citarlos.</w:t>
      </w:r>
    </w:p>
    <w:p>
      <w:pPr>
        <w:spacing w:line="360" w:lineRule="auto"/>
        <w:jc w:val="both"/>
      </w:pPr>
      <w:r>
        <w:rPr>
          <w:rFonts w:ascii="Arial" w:hAnsi="Arial"/>
          <w:b w:val="0"/>
          <w:i w:val="0"/>
          <w:sz w:val="24"/>
        </w:rPr>
        <w:t>Por último, llena los campos editables, borra los párrafos que no apliquen (por ejemplo, los de la autoridad coordinada si la multa la impuso el SAT, o la petición de devolución si no pagaste) y relee el concepto completo contra tus constancias.</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 conviene que sea el primero, por ser el de mayor beneficio.</w:t>
      </w:r>
    </w:p>
    <w:p>
      <w:pPr>
        <w:spacing w:line="360" w:lineRule="auto"/>
        <w:jc w:val="both"/>
      </w:pPr>
      <w:r>
        <w:rPr>
          <w:rFonts w:ascii="Arial" w:hAnsi="Arial"/>
          <w:b/>
          <w:i w:val="0"/>
          <w:sz w:val="24"/>
        </w:rPr>
        <w:t>[NÚMERO Y FECHA DE LA RESOLUCIÓN IMPUGNADA]</w:t>
      </w:r>
      <w:r>
        <w:rPr>
          <w:rFonts w:ascii="Arial" w:hAnsi="Arial"/>
          <w:b w:val="0"/>
          <w:i w:val="0"/>
          <w:sz w:val="24"/>
        </w:rPr>
        <w:t>: número de oficio y fecha de la resolución que decidió el recurso de revocación.</w:t>
      </w:r>
    </w:p>
    <w:p>
      <w:pPr>
        <w:spacing w:line="360" w:lineRule="auto"/>
        <w:jc w:val="both"/>
      </w:pPr>
      <w:r>
        <w:rPr>
          <w:rFonts w:ascii="Arial" w:hAnsi="Arial"/>
          <w:b/>
          <w:i w:val="0"/>
          <w:sz w:val="24"/>
        </w:rPr>
        <w:t>[AUTORIDAD QUE RESOLVIÓ EL RECURSO DE REVOCACIÓN]</w:t>
      </w:r>
      <w:r>
        <w:rPr>
          <w:rFonts w:ascii="Arial" w:hAnsi="Arial"/>
          <w:b w:val="0"/>
          <w:i w:val="0"/>
          <w:sz w:val="24"/>
        </w:rPr>
        <w:t>: denominación completa de la unidad que emitió esa resolución.</w:t>
      </w:r>
    </w:p>
    <w:p>
      <w:pPr>
        <w:spacing w:line="360" w:lineRule="auto"/>
        <w:jc w:val="both"/>
      </w:pPr>
      <w:r>
        <w:rPr>
          <w:rFonts w:ascii="Arial" w:hAnsi="Arial"/>
          <w:b/>
          <w:i w:val="0"/>
          <w:sz w:val="24"/>
        </w:rPr>
        <w:t>[MONTO DE LA MULTA]</w:t>
      </w:r>
      <w:r>
        <w:rPr>
          <w:rFonts w:ascii="Arial" w:hAnsi="Arial"/>
          <w:b w:val="0"/>
          <w:i w:val="0"/>
          <w:sz w:val="24"/>
        </w:rPr>
        <w:t>: importe exacto de la multa, con número y letra.</w:t>
      </w:r>
    </w:p>
    <w:p>
      <w:pPr>
        <w:spacing w:line="360" w:lineRule="auto"/>
        <w:jc w:val="both"/>
      </w:pPr>
      <w:r>
        <w:rPr>
          <w:rFonts w:ascii="Arial" w:hAnsi="Arial"/>
          <w:b/>
          <w:i w:val="0"/>
          <w:sz w:val="24"/>
        </w:rPr>
        <w:t>[AUTORIDAD EMISORA DE LA MULTA]</w:t>
      </w:r>
      <w:r>
        <w:rPr>
          <w:rFonts w:ascii="Arial" w:hAnsi="Arial"/>
          <w:b w:val="0"/>
          <w:i w:val="0"/>
          <w:sz w:val="24"/>
        </w:rPr>
        <w:t>: denominación completa de la unidad que impuso la multa, federal o estatal coordinada.</w:t>
      </w:r>
    </w:p>
    <w:p>
      <w:pPr>
        <w:spacing w:line="360" w:lineRule="auto"/>
        <w:jc w:val="both"/>
      </w:pPr>
      <w:r>
        <w:rPr>
          <w:rFonts w:ascii="Arial" w:hAnsi="Arial"/>
          <w:b/>
          <w:i w:val="0"/>
          <w:sz w:val="24"/>
        </w:rPr>
        <w:t>[NOMBRE DE LA PARTE ACTORA]</w:t>
      </w:r>
      <w:r>
        <w:rPr>
          <w:rFonts w:ascii="Arial" w:hAnsi="Arial"/>
          <w:b w:val="0"/>
          <w:i w:val="0"/>
          <w:sz w:val="24"/>
        </w:rPr>
        <w:t>: nombre o razón social de la persona multada.</w:t>
      </w:r>
    </w:p>
    <w:p>
      <w:pPr>
        <w:spacing w:line="360" w:lineRule="auto"/>
        <w:jc w:val="both"/>
      </w:pPr>
      <w:r>
        <w:rPr>
          <w:rFonts w:ascii="Arial" w:hAnsi="Arial"/>
          <w:b/>
          <w:i w:val="0"/>
          <w:sz w:val="24"/>
        </w:rPr>
        <w:t>[NÚMERO Y FECHA DE LA RESOLUCIÓN QUE IMPUSO LA MULTA]</w:t>
      </w:r>
      <w:r>
        <w:rPr>
          <w:rFonts w:ascii="Arial" w:hAnsi="Arial"/>
          <w:b w:val="0"/>
          <w:i w:val="0"/>
          <w:sz w:val="24"/>
        </w:rPr>
        <w:t>: número de oficio y fecha de la resolución determinante; esa fecha es la que sirve para el cálculo de las unidades de inversión.</w:t>
      </w:r>
    </w:p>
    <w:p>
      <w:pPr>
        <w:spacing w:line="360" w:lineRule="auto"/>
        <w:jc w:val="both"/>
      </w:pPr>
      <w:r>
        <w:rPr>
          <w:rFonts w:ascii="Arial" w:hAnsi="Arial"/>
          <w:b/>
          <w:i w:val="0"/>
          <w:sz w:val="24"/>
        </w:rPr>
        <w:t>[FECHA DE NOTIFICACIÓN DE LA RESOLUCIÓN IMPUGNADA]</w:t>
      </w:r>
      <w:r>
        <w:rPr>
          <w:rFonts w:ascii="Arial" w:hAnsi="Arial"/>
          <w:b w:val="0"/>
          <w:i w:val="0"/>
          <w:sz w:val="24"/>
        </w:rPr>
        <w:t>: día en que se notificó la resolución del recurso; de ella depende el cómputo del plazo de la demanda.</w:t>
      </w:r>
    </w:p>
    <w:p>
      <w:pPr>
        <w:spacing w:line="360" w:lineRule="auto"/>
        <w:jc w:val="both"/>
      </w:pPr>
      <w:r>
        <w:rPr>
          <w:rFonts w:ascii="Arial" w:hAnsi="Arial"/>
          <w:b/>
          <w:i w:val="0"/>
          <w:sz w:val="24"/>
        </w:rPr>
        <w:t>[PRECEPTOS DEL CÓDIGO FISCAL DE LA FEDERACIÓN QUE FUNDAN LA MULTA]</w:t>
      </w:r>
      <w:r>
        <w:rPr>
          <w:rFonts w:ascii="Arial" w:hAnsi="Arial"/>
          <w:b w:val="0"/>
          <w:i w:val="0"/>
          <w:sz w:val="24"/>
        </w:rPr>
        <w:t>: artículo, fracción e inciso que cita la resolución sancionadora, tanto de la infracción como de la sanción, copiados del oficio.</w:t>
      </w:r>
    </w:p>
    <w:p>
      <w:pPr>
        <w:spacing w:line="360" w:lineRule="auto"/>
        <w:jc w:val="both"/>
      </w:pPr>
      <w:r>
        <w:rPr>
          <w:rFonts w:ascii="Arial" w:hAnsi="Arial"/>
          <w:b/>
          <w:i w:val="0"/>
          <w:sz w:val="24"/>
        </w:rPr>
        <w:t>[CLÁUSULA DEL CONVENIO Y FECHA DE SU PUBLICACIÓN EN EL DIARIO OFICIAL DE LA FEDERACIÓN]</w:t>
      </w:r>
      <w:r>
        <w:rPr>
          <w:rFonts w:ascii="Arial" w:hAnsi="Arial"/>
          <w:b w:val="0"/>
          <w:i w:val="0"/>
          <w:sz w:val="24"/>
        </w:rPr>
        <w:t>: la cláusula del convenio de tu entidad que ordena ejercer las facultades delegadas conforme a las disposiciones federales, y la fecha en que se publicó; si la multa la impuso el SAT, suprime los párrafos de la autoridad coordinada.</w:t>
      </w:r>
    </w:p>
    <w:p>
      <w:pPr>
        <w:spacing w:line="360" w:lineRule="auto"/>
        <w:jc w:val="both"/>
      </w:pPr>
      <w:r>
        <w:rPr>
          <w:rFonts w:ascii="Arial" w:hAnsi="Arial"/>
          <w:b/>
          <w:i w:val="0"/>
          <w:sz w:val="24"/>
        </w:rPr>
        <w:t>[ENTIDAD FEDERATIVA COORDINADA]</w:t>
      </w:r>
      <w:r>
        <w:rPr>
          <w:rFonts w:ascii="Arial" w:hAnsi="Arial"/>
          <w:b w:val="0"/>
          <w:i w:val="0"/>
          <w:sz w:val="24"/>
        </w:rPr>
        <w:t>: el estado cuya autoridad fiscal impuso la multa.</w:t>
      </w:r>
    </w:p>
    <w:p>
      <w:pPr>
        <w:spacing w:line="360" w:lineRule="auto"/>
        <w:jc w:val="both"/>
      </w:pPr>
      <w:r>
        <w:rPr>
          <w:rFonts w:ascii="Arial" w:hAnsi="Arial"/>
          <w:b/>
          <w:i w:val="0"/>
          <w:sz w:val="24"/>
        </w:rPr>
        <w:t>[ACTUACIÓN DE COMPROBACIÓN CON LA QUE SE DESCUBRIÓ LA INFRACCIÓN]</w:t>
      </w:r>
      <w:r>
        <w:rPr>
          <w:rFonts w:ascii="Arial" w:hAnsi="Arial"/>
          <w:b w:val="0"/>
          <w:i w:val="0"/>
          <w:sz w:val="24"/>
        </w:rPr>
        <w:t>: la actuación concreta de la autoridad con la que se detectó la omisión, con su número y fecha, tal como la describe la resolución sancionadora.</w:t>
      </w:r>
    </w:p>
    <w:p>
      <w:pPr>
        <w:spacing w:line="360" w:lineRule="auto"/>
        <w:jc w:val="both"/>
      </w:pPr>
      <w:r>
        <w:rPr>
          <w:rFonts w:ascii="Arial" w:hAnsi="Arial"/>
          <w:b/>
          <w:i w:val="0"/>
          <w:sz w:val="24"/>
        </w:rPr>
        <w:t>[VALOR DE LA UNIDAD DE INVERSIÓN EN LA FECHA DE LA RESOLUCIÓN DETERMINANTE]</w:t>
      </w:r>
      <w:r>
        <w:rPr>
          <w:rFonts w:ascii="Arial" w:hAnsi="Arial"/>
          <w:b w:val="0"/>
          <w:i w:val="0"/>
          <w:sz w:val="24"/>
        </w:rPr>
        <w:t>: el valor publicado por el Banco de México para el día en que se emitió la multa, con seis decimales.</w:t>
      </w:r>
    </w:p>
    <w:p>
      <w:pPr>
        <w:spacing w:line="360" w:lineRule="auto"/>
        <w:jc w:val="both"/>
      </w:pPr>
      <w:r>
        <w:rPr>
          <w:rFonts w:ascii="Arial" w:hAnsi="Arial"/>
          <w:b/>
          <w:i w:val="0"/>
          <w:sz w:val="24"/>
        </w:rPr>
        <w:t>[EQUIVALENTE EN PESOS DE 3,500 UNIDADES DE INVERSIÓN]</w:t>
      </w:r>
      <w:r>
        <w:rPr>
          <w:rFonts w:ascii="Arial" w:hAnsi="Arial"/>
          <w:b w:val="0"/>
          <w:i w:val="0"/>
          <w:sz w:val="24"/>
        </w:rPr>
        <w:t>: el resultado de multiplicar 3,500 por ese valor, calculado con hoja de cálculo o con código y revisado dos veces.</w:t>
      </w:r>
    </w:p>
    <w:p>
      <w:pPr>
        <w:spacing w:line="360" w:lineRule="auto"/>
        <w:jc w:val="both"/>
      </w:pPr>
      <w:r>
        <w:rPr>
          <w:rFonts w:ascii="Arial" w:hAnsi="Arial"/>
          <w:b/>
          <w:i w:val="0"/>
          <w:sz w:val="24"/>
        </w:rPr>
        <w:t>[TRANSCRIPCIÓN DEL ARGUMENTO DE LA AUTORIDAD SOBRE EL ARTÍCULO 20-A]</w:t>
      </w:r>
      <w:r>
        <w:rPr>
          <w:rFonts w:ascii="Arial" w:hAnsi="Arial"/>
          <w:b w:val="0"/>
          <w:i w:val="0"/>
          <w:sz w:val="24"/>
        </w:rPr>
        <w:t>: lo que dijo la autoridad, en la resolución del recurso o en su contestación, para negar la aplicación del precepto; transcríbelo entre comillas o resúmelo con fidelidad.</w:t>
      </w:r>
    </w:p>
    <w:p/>
    <w:p>
      <w:pPr>
        <w:spacing w:line="360" w:lineRule="auto"/>
        <w:jc w:val="both"/>
      </w:pPr>
      <w:r>
        <w:rPr>
          <w:rFonts w:ascii="Arial" w:hAnsi="Arial"/>
          <w:b/>
          <w:sz w:val="28"/>
        </w:rPr>
        <w:t>[NÚMERO ORDINAL DEL CONCEPTO] CONCEPTO DE IMPUGNACIÓN. La multa se impuso en contravención del artículo 20-A de la Ley del Servicio de Administración Tributaria, que obligaba a la autoridad a abstenerse de sancionar y a formular sólo un apercibimiento por escrito, pues el crédito no excede del equivalente a 3,500 unidades de inversión, la omisión carece de gravedad y la parte actora nunca se ha beneficiado de esa excepción; se actualiza, por ello, la causal de ilegalidad de la fracción IV del numeral 51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w:t>
      </w:r>
      <w:r>
        <w:rPr>
          <w:rFonts w:ascii="Arial" w:hAnsi="Arial"/>
          <w:b/>
          <w:i w:val="0"/>
          <w:sz w:val="28"/>
        </w:rPr>
        <w:t>[NÚMERO Y FECHA DE LA RESOLUCIÓN IMPUGNADA]</w:t>
      </w:r>
      <w:r>
        <w:rPr>
          <w:rFonts w:ascii="Arial" w:hAnsi="Arial"/>
          <w:b w:val="0"/>
          <w:i w:val="0"/>
          <w:sz w:val="28"/>
        </w:rPr>
        <w:t xml:space="preserve">, por la que la </w:t>
      </w:r>
      <w:r>
        <w:rPr>
          <w:rFonts w:ascii="Arial" w:hAnsi="Arial"/>
          <w:b/>
          <w:i w:val="0"/>
          <w:sz w:val="28"/>
        </w:rPr>
        <w:t>[AUTORIDAD QUE RESOLVIÓ EL RECURSO DE REVOCACIÓN]</w:t>
      </w:r>
      <w:r>
        <w:rPr>
          <w:rFonts w:ascii="Arial" w:hAnsi="Arial"/>
          <w:b w:val="0"/>
          <w:i w:val="0"/>
          <w:sz w:val="28"/>
        </w:rPr>
        <w:t xml:space="preserve"> confirmó la multa de </w:t>
      </w:r>
      <w:r>
        <w:rPr>
          <w:rFonts w:ascii="Arial" w:hAnsi="Arial"/>
          <w:b/>
          <w:i w:val="0"/>
          <w:sz w:val="28"/>
        </w:rPr>
        <w:t>[MONTO DE LA MULTA]</w:t>
      </w:r>
      <w:r>
        <w:rPr>
          <w:rFonts w:ascii="Arial" w:hAnsi="Arial"/>
          <w:b w:val="0"/>
          <w:i w:val="0"/>
          <w:sz w:val="28"/>
        </w:rPr>
        <w:t xml:space="preserve"> que la </w:t>
      </w:r>
      <w:r>
        <w:rPr>
          <w:rFonts w:ascii="Arial" w:hAnsi="Arial"/>
          <w:b/>
          <w:i w:val="0"/>
          <w:sz w:val="28"/>
        </w:rPr>
        <w:t>[AUTORIDAD EMISORA DE LA MULTA]</w:t>
      </w:r>
      <w:r>
        <w:rPr>
          <w:rFonts w:ascii="Arial" w:hAnsi="Arial"/>
          <w:b w:val="0"/>
          <w:i w:val="0"/>
          <w:sz w:val="28"/>
        </w:rPr>
        <w:t xml:space="preserve"> impuso a </w:t>
      </w:r>
      <w:r>
        <w:rPr>
          <w:rFonts w:ascii="Arial" w:hAnsi="Arial"/>
          <w:b/>
          <w:i w:val="0"/>
          <w:sz w:val="28"/>
        </w:rPr>
        <w:t>[NOMBRE DE LA PARTE ACTORA]</w:t>
      </w:r>
      <w:r>
        <w:rPr>
          <w:rFonts w:ascii="Arial" w:hAnsi="Arial"/>
          <w:b w:val="0"/>
          <w:i w:val="0"/>
          <w:sz w:val="28"/>
        </w:rPr>
        <w:t xml:space="preserve"> mediante el oficio </w:t>
      </w:r>
      <w:r>
        <w:rPr>
          <w:rFonts w:ascii="Arial" w:hAnsi="Arial"/>
          <w:b/>
          <w:i w:val="0"/>
          <w:sz w:val="28"/>
        </w:rPr>
        <w:t>[NÚMERO Y FECHA DE LA RESOLUCIÓN QUE IMPUSO LA MULTA]</w:t>
      </w:r>
      <w:r>
        <w:rPr>
          <w:rFonts w:ascii="Arial" w:hAnsi="Arial"/>
          <w:b w:val="0"/>
          <w:i w:val="0"/>
          <w:sz w:val="28"/>
        </w:rPr>
        <w:t>, es ilegal en cuanto al fondo, porque sancionó una conducta frente a la cual la ley ordenaba a la autoridad abstenerse de castigar y limitarse a un apercibimiento por escrito.</w:t>
      </w:r>
    </w:p>
    <w:p>
      <w:pPr>
        <w:spacing w:line="360" w:lineRule="auto"/>
        <w:jc w:val="both"/>
      </w:pPr>
      <w:r>
        <w:rPr>
          <w:rFonts w:ascii="Arial" w:hAnsi="Arial"/>
          <w:b w:val="0"/>
          <w:i w:val="0"/>
          <w:sz w:val="28"/>
        </w:rPr>
        <w:t xml:space="preserve">La demostración descansa en dos premisas encadenadas; la primera consiste en que el verbo </w:t>
      </w:r>
      <w:r>
        <w:rPr>
          <w:rFonts w:ascii="Arial" w:hAnsi="Arial"/>
          <w:b w:val="0"/>
          <w:i/>
          <w:sz w:val="28"/>
        </w:rPr>
        <w:t>“podrá”</w:t>
      </w:r>
      <w:r>
        <w:rPr>
          <w:rFonts w:ascii="Arial" w:hAnsi="Arial"/>
          <w:b w:val="0"/>
          <w:i w:val="0"/>
          <w:sz w:val="28"/>
        </w:rPr>
        <w:t xml:space="preserve"> del artículo 20-A de la Ley del Servicio de Administración Tributaria expresa una obligación condicionada a que concurran las tres circunstancias que el propio texto enumera, sin margen para optar entre sancionar o abstenerse, y la segunda, en que ese deber alcanza también a la autoridad fiscal de una entidad federativa coordinada cuando impone multas federales en ejercicio de facultades delegadas.</w:t>
      </w:r>
    </w:p>
    <w:p>
      <w:pPr>
        <w:spacing w:line="360" w:lineRule="auto"/>
        <w:jc w:val="both"/>
      </w:pPr>
      <w:r>
        <w:rPr>
          <w:rFonts w:ascii="Arial" w:hAnsi="Arial"/>
          <w:b w:val="0"/>
          <w:i w:val="0"/>
          <w:sz w:val="28"/>
        </w:rPr>
        <w:t>Acreditado que en el caso se reúnen esas circunstancias, al quedar la multa por debajo del equivalente en moneda nacional a 3,500 unidades de inversión, al haberse impuesto el mínimo legal sin agravante alguna y al no haber recibido la parte actora ese beneficio en ocasión anterior, se sigue que la autoridad dejó de aplicar la disposición debida, lo que actualiza la causal de la fracción IV del artículo 51 de la ley procesal y conduce a la nulidad lisa y llana tanto de la resolución impugnada como de la recurrida.</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resolución impugnada es la </w:t>
      </w:r>
      <w:r>
        <w:rPr>
          <w:rFonts w:ascii="Arial" w:hAnsi="Arial"/>
          <w:b/>
          <w:i w:val="0"/>
          <w:sz w:val="28"/>
        </w:rPr>
        <w:t>[NÚMERO Y FECHA DE LA RESOLUCIÓN IMPUGNADA]</w:t>
      </w:r>
      <w:r>
        <w:rPr>
          <w:rFonts w:ascii="Arial" w:hAnsi="Arial"/>
          <w:b w:val="0"/>
          <w:i w:val="0"/>
          <w:sz w:val="28"/>
        </w:rPr>
        <w:t xml:space="preserve">, notificada el </w:t>
      </w:r>
      <w:r>
        <w:rPr>
          <w:rFonts w:ascii="Arial" w:hAnsi="Arial"/>
          <w:b/>
          <w:i w:val="0"/>
          <w:sz w:val="28"/>
        </w:rPr>
        <w:t>[FECHA DE NOTIFICACIÓN DE LA RESOLUCIÓN IMPUGNADA]</w:t>
      </w:r>
      <w:r>
        <w:rPr>
          <w:rFonts w:ascii="Arial" w:hAnsi="Arial"/>
          <w:b w:val="0"/>
          <w:i w:val="0"/>
          <w:sz w:val="28"/>
        </w:rPr>
        <w:t xml:space="preserve">, que decidió el recurso de revocación interpuesto contra la multa de </w:t>
      </w:r>
      <w:r>
        <w:rPr>
          <w:rFonts w:ascii="Arial" w:hAnsi="Arial"/>
          <w:b/>
          <w:i w:val="0"/>
          <w:sz w:val="28"/>
        </w:rPr>
        <w:t>[MONTO DE LA MULTA]</w:t>
      </w:r>
      <w:r>
        <w:rPr>
          <w:rFonts w:ascii="Arial" w:hAnsi="Arial"/>
          <w:b w:val="0"/>
          <w:i w:val="0"/>
          <w:sz w:val="28"/>
        </w:rPr>
        <w:t xml:space="preserve">, fundada en </w:t>
      </w:r>
      <w:r>
        <w:rPr>
          <w:rFonts w:ascii="Arial" w:hAnsi="Arial"/>
          <w:b/>
          <w:i w:val="0"/>
          <w:sz w:val="28"/>
        </w:rPr>
        <w:t>[PRECEPTOS DEL CÓDIGO FISCAL DE LA FEDERACIÓN QUE FUNDAN LA MULTA]</w:t>
      </w:r>
      <w:r>
        <w:rPr>
          <w:rFonts w:ascii="Arial" w:hAnsi="Arial"/>
          <w:b w:val="0"/>
          <w:i w:val="0"/>
          <w:sz w:val="28"/>
        </w:rPr>
        <w:t>, y que la confirmó en sus términos.</w:t>
      </w:r>
    </w:p>
    <w:p>
      <w:pPr>
        <w:spacing w:line="360" w:lineRule="auto"/>
        <w:jc w:val="both"/>
      </w:pPr>
      <w:r>
        <w:rPr>
          <w:rFonts w:ascii="Arial" w:hAnsi="Arial"/>
          <w:b w:val="0"/>
          <w:i w:val="0"/>
          <w:sz w:val="28"/>
        </w:rPr>
        <w:t xml:space="preserve">Conforme al segundo párrafo del artículo 1o. de la Ley Federal de Procedimiento Contencioso Administrativo, cuando lo resuelto en un recurso no satisface el interés jurídico de quien lo interpuso, </w:t>
      </w:r>
      <w:r>
        <w:rPr>
          <w:rFonts w:ascii="Arial" w:hAnsi="Arial"/>
          <w:b w:val="0"/>
          <w:i/>
          <w:sz w:val="28"/>
        </w:rPr>
        <w:t>“se entenderá que simultáneamente impugna la resolución recurrida en la parte que continúa afectándola”</w:t>
      </w:r>
      <w:r>
        <w:rPr>
          <w:rFonts w:ascii="Arial" w:hAnsi="Arial"/>
          <w:b w:val="0"/>
          <w:i w:val="0"/>
          <w:sz w:val="28"/>
        </w:rPr>
        <w:t>, con la posibilidad de hacer valer conceptos no planteados en sede administrativa, de modo que este planteamiento se dirige contra ambos actos aunque no se hubiera formulado en el recurso.</w:t>
      </w:r>
    </w:p>
    <w:p>
      <w:pPr>
        <w:spacing w:line="360" w:lineRule="auto"/>
        <w:jc w:val="both"/>
      </w:pPr>
      <w:r>
        <w:rPr>
          <w:rFonts w:ascii="Arial" w:hAnsi="Arial"/>
          <w:b w:val="0"/>
          <w:i w:val="0"/>
          <w:sz w:val="28"/>
        </w:rPr>
        <w:t xml:space="preserve">Las normas cuya inobservancia se plantea son, en primer lugar, el artículo 20-A de la Ley del Servicio de Administración Tributaria, que la autoridad dejó de aplicar, y el primer párrafo del precepto 16 de la Constitución Política de los Estados Unidos Mexicanos, que exige a todo acto de molestia un mandamiento escrito de autoridad competente </w:t>
      </w:r>
      <w:r>
        <w:rPr>
          <w:rFonts w:ascii="Arial" w:hAnsi="Arial"/>
          <w:b w:val="0"/>
          <w:i/>
          <w:sz w:val="28"/>
        </w:rPr>
        <w:t>“que funde y motive la causa legal del procedimiento”</w:t>
      </w:r>
      <w:r>
        <w:rPr>
          <w:rFonts w:ascii="Arial" w:hAnsi="Arial"/>
          <w:b w:val="0"/>
          <w:i w:val="0"/>
          <w:sz w:val="28"/>
        </w:rPr>
        <w:t>.</w:t>
      </w:r>
    </w:p>
    <w:p>
      <w:pPr>
        <w:spacing w:line="360" w:lineRule="auto"/>
        <w:jc w:val="both"/>
      </w:pPr>
      <w:r>
        <w:rPr>
          <w:rFonts w:ascii="Arial" w:hAnsi="Arial"/>
          <w:b w:val="0"/>
          <w:i w:val="0"/>
          <w:sz w:val="28"/>
        </w:rPr>
        <w:t xml:space="preserve">En segundo lugar, se invocan las disposiciones que someten a la autoridad estatal coordinada al régimen federal, que son el artículo 14 de la Ley de Coordinación Fiscal, el último párrafo del numeral 33 del Código Fiscal de la Federación, el tercero transitorio de la ley que rige al órgano recaudador federal y la cláusula </w:t>
      </w:r>
      <w:r>
        <w:rPr>
          <w:rFonts w:ascii="Arial" w:hAnsi="Arial"/>
          <w:b/>
          <w:i w:val="0"/>
          <w:sz w:val="28"/>
        </w:rPr>
        <w:t>[CLÁUSULA DEL CONVENIO Y FECHA DE SU PUBLICACIÓN EN EL DIARIO OFICIAL DE LA FEDERACIÓN]</w:t>
      </w:r>
      <w:r>
        <w:rPr>
          <w:rFonts w:ascii="Arial" w:hAnsi="Arial"/>
          <w:b w:val="0"/>
          <w:i w:val="0"/>
          <w:sz w:val="28"/>
        </w:rPr>
        <w:t xml:space="preserve"> del Convenio de Colaboración Administrativa en Materia Fiscal Federal celebrado con </w:t>
      </w:r>
      <w:r>
        <w:rPr>
          <w:rFonts w:ascii="Arial" w:hAnsi="Arial"/>
          <w:b/>
          <w:i w:val="0"/>
          <w:sz w:val="28"/>
        </w:rPr>
        <w:t>[ENTIDAD FEDERATIVA COORDINADA]</w:t>
      </w:r>
      <w:r>
        <w:rPr>
          <w:rFonts w:ascii="Arial" w:hAnsi="Arial"/>
          <w:b w:val="0"/>
          <w:i w:val="0"/>
          <w:sz w:val="28"/>
        </w:rPr>
        <w:t>.</w:t>
      </w:r>
    </w:p>
    <w:p>
      <w:pPr>
        <w:spacing w:line="360" w:lineRule="auto"/>
        <w:jc w:val="both"/>
      </w:pPr>
      <w:r>
        <w:rPr>
          <w:rFonts w:ascii="Arial" w:hAnsi="Arial"/>
          <w:b w:val="0"/>
          <w:i w:val="0"/>
          <w:sz w:val="28"/>
        </w:rPr>
        <w:t>El perjuicio es directo, pues la parte actora soporta una sanción pecuniaria que la ley prohibía imponerle, y el beneficio que persigue este concepto es el mayor posible, ya que el vicio atañe al fondo de la sanción, de manera que su acogimiento no deja nada que reponer y torna innecesario el estudio de los planteamientos restantes, en términos del segundo párrafo del artículo 50 de la Ley Federal de Procedimiento Contencioso Administrativo.</w:t>
      </w:r>
    </w:p>
    <w:p>
      <w:pPr>
        <w:spacing w:line="360" w:lineRule="auto"/>
        <w:jc w:val="both"/>
      </w:pPr>
      <w:r>
        <w:rPr>
          <w:rFonts w:ascii="Arial" w:hAnsi="Arial"/>
          <w:b w:val="0"/>
          <w:i w:val="0"/>
          <w:sz w:val="28"/>
        </w:rPr>
        <w:t>La demanda se presenta dentro de los treinta días siguientes a aquél en que surtió efectos la notificación de la resolución impugnada, plazo que fija el párrafo tercero del artículo 58-2 de la Ley Federal de Procedimiento Contencioso Administrativo para la vía sumaria y que, para la ordinaria, prevé el inciso a) de la fracción I de su numeral 13.</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Conviene partir del principio de legalidad que consagra el primer párrafo del artículo 16 constitucional, cuyo alcance explica Gómora Juárez al señalar que obliga a los órganos del Estado mexicano a actuar con apego estricto a la ley positiva vigente y que, al mismo tiempo, protege la esfera personal de los individuos frente a intervenciones estatales no previstas en ella.</w:t>
      </w:r>
      <w:r>
        <w:rPr>
          <w:rFonts w:ascii="Arial" w:hAnsi="Arial"/>
          <w:vertAlign w:val="superscript"/>
        </w:rPr>
        <w:t>1</w:t>
      </w:r>
    </w:p>
    <w:p>
      <w:pPr>
        <w:spacing w:line="360" w:lineRule="auto"/>
        <w:jc w:val="both"/>
      </w:pPr>
      <w:r>
        <w:rPr>
          <w:rFonts w:ascii="Arial" w:hAnsi="Arial"/>
          <w:b w:val="0"/>
          <w:i w:val="0"/>
          <w:sz w:val="28"/>
        </w:rPr>
        <w:t>De ese principio se sigue que, cuando el legislador ha predeterminado la conducta que la autoridad debe observar frente a cierta hipótesis, ésta carece de atribución para sustituirla por otra, de suerte que el acto que se aparta de ese comportamiento debido se emite sin fundamento legal, aunque la sanción elegida exista en abstracto en el catálogo de infracciones.</w:t>
      </w:r>
    </w:p>
    <w:p>
      <w:pPr>
        <w:spacing w:line="360" w:lineRule="auto"/>
        <w:jc w:val="both"/>
      </w:pPr>
      <w:r>
        <w:rPr>
          <w:rFonts w:ascii="Arial" w:hAnsi="Arial"/>
          <w:b w:val="0"/>
          <w:i w:val="0"/>
          <w:sz w:val="28"/>
        </w:rPr>
        <w:t xml:space="preserve">En materia de sanciones fiscales de cuantía reducida, esa pauta la fija el artículo 20-A de la Ley del Servicio de Administración Tributaria, que, en el texto aplicado por una Sala Regional en un asunto análogo, dispone que </w:t>
      </w:r>
      <w:r>
        <w:rPr>
          <w:rFonts w:ascii="Arial" w:hAnsi="Arial"/>
          <w:b w:val="0"/>
          <w:i/>
          <w:sz w:val="28"/>
        </w:rPr>
        <w:t>“El Servicio de Administración Tributaria podrá abstenerse de llevar a cabo la determinación de contribuciones y sus accesorios, así como de imponer las sanciones correspondientes a las infracciones descubiertas con motivo del ejercicio de sus facultades de comprobación, cuando el monto total de los créditos fiscales no excediera del equivalente en moneda nacional a 3,500 unidades de inversión”</w:t>
      </w:r>
      <w:r>
        <w:rPr>
          <w:rFonts w:ascii="Arial" w:hAnsi="Arial"/>
          <w:b w:val="0"/>
          <w:i w:val="0"/>
          <w:sz w:val="28"/>
        </w:rPr>
        <w:t>.</w:t>
      </w:r>
    </w:p>
    <w:p>
      <w:pPr>
        <w:spacing w:line="360" w:lineRule="auto"/>
        <w:jc w:val="both"/>
      </w:pPr>
      <w:r>
        <w:rPr>
          <w:rFonts w:ascii="Arial" w:hAnsi="Arial"/>
          <w:b w:val="0"/>
          <w:i w:val="0"/>
          <w:sz w:val="28"/>
        </w:rPr>
        <w:t xml:space="preserve">El mismo precepto añade que </w:t>
      </w:r>
      <w:r>
        <w:rPr>
          <w:rFonts w:ascii="Arial" w:hAnsi="Arial"/>
          <w:b w:val="0"/>
          <w:i/>
          <w:sz w:val="28"/>
        </w:rPr>
        <w:t>“Para el ejercicio de esta facultad el Servicio de Administración Tributaria tomará en cuenta las siguientes circunstancias”</w:t>
      </w:r>
      <w:r>
        <w:rPr>
          <w:rFonts w:ascii="Arial" w:hAnsi="Arial"/>
          <w:b w:val="0"/>
          <w:i w:val="0"/>
          <w:sz w:val="28"/>
        </w:rPr>
        <w:t xml:space="preserve">, que enumera como </w:t>
      </w:r>
      <w:r>
        <w:rPr>
          <w:rFonts w:ascii="Arial" w:hAnsi="Arial"/>
          <w:b w:val="0"/>
          <w:i/>
          <w:sz w:val="28"/>
        </w:rPr>
        <w:t>“a) Ningún contribuyente podrá beneficiarse de esta excepción dos veces”</w:t>
      </w:r>
      <w:r>
        <w:rPr>
          <w:rFonts w:ascii="Arial" w:hAnsi="Arial"/>
          <w:b w:val="0"/>
          <w:i w:val="0"/>
          <w:sz w:val="28"/>
        </w:rPr>
        <w:t xml:space="preserve">, </w:t>
      </w:r>
      <w:r>
        <w:rPr>
          <w:rFonts w:ascii="Arial" w:hAnsi="Arial"/>
          <w:b w:val="0"/>
          <w:i/>
          <w:sz w:val="28"/>
        </w:rPr>
        <w:t>“b) El monto total de los créditos fiscales no debe exceder el equivalente en moneda nacional a 3,500 unidades de inversión”</w:t>
      </w:r>
      <w:r>
        <w:rPr>
          <w:rFonts w:ascii="Arial" w:hAnsi="Arial"/>
          <w:b w:val="0"/>
          <w:i w:val="0"/>
          <w:sz w:val="28"/>
        </w:rPr>
        <w:t xml:space="preserve"> y </w:t>
      </w:r>
      <w:r>
        <w:rPr>
          <w:rFonts w:ascii="Arial" w:hAnsi="Arial"/>
          <w:b w:val="0"/>
          <w:i/>
          <w:sz w:val="28"/>
        </w:rPr>
        <w:t>“c) Que las contribuciones omitidas correspondan a errores u omisiones no graves”</w:t>
      </w:r>
      <w:r>
        <w:rPr>
          <w:rFonts w:ascii="Arial" w:hAnsi="Arial"/>
          <w:b w:val="0"/>
          <w:i w:val="0"/>
          <w:sz w:val="28"/>
        </w:rPr>
        <w:t xml:space="preserve">, y cierra con la previsión de que </w:t>
      </w:r>
      <w:r>
        <w:rPr>
          <w:rFonts w:ascii="Arial" w:hAnsi="Arial"/>
          <w:b w:val="0"/>
          <w:i/>
          <w:sz w:val="28"/>
        </w:rPr>
        <w:t>“Los contribuyentes beneficiados por esta excepción recibirán un apercibimiento por escrito”</w:t>
      </w:r>
      <w:r>
        <w:rPr>
          <w:rFonts w:ascii="Arial" w:hAnsi="Arial"/>
          <w:b w:val="0"/>
          <w:i w:val="0"/>
          <w:sz w:val="28"/>
        </w:rPr>
        <w:t>.</w:t>
      </w:r>
    </w:p>
    <w:p>
      <w:pPr>
        <w:spacing w:line="360" w:lineRule="auto"/>
        <w:jc w:val="both"/>
      </w:pPr>
      <w:r>
        <w:rPr>
          <w:rFonts w:ascii="Arial" w:hAnsi="Arial"/>
          <w:b w:val="0"/>
          <w:i w:val="0"/>
          <w:sz w:val="28"/>
        </w:rPr>
        <w:t>La lectura de ese dispositivo exige distinguir entre la potestad discrecional y la reglada; Sánchez Gil explica que la discrecionalidad supone un margen de apreciación y el poder de elegir entre varias opciones de decisión, margen que no es tan libre como suele creerse, pues las exigencias normativas que vinculan a la autoridad, como las derivadas de los derechos fundamentales, pueden estrecharlo al grado de que la posibilidad de elección se reduzca a una sola alternativa.</w:t>
      </w:r>
      <w:r>
        <w:rPr>
          <w:rFonts w:ascii="Arial" w:hAnsi="Arial"/>
          <w:vertAlign w:val="superscript"/>
        </w:rPr>
        <w:t>2</w:t>
      </w:r>
    </w:p>
    <w:p>
      <w:pPr>
        <w:spacing w:line="360" w:lineRule="auto"/>
        <w:jc w:val="both"/>
      </w:pPr>
      <w:r>
        <w:rPr>
          <w:rFonts w:ascii="Arial" w:hAnsi="Arial"/>
          <w:b w:val="0"/>
          <w:i w:val="0"/>
          <w:sz w:val="28"/>
        </w:rPr>
        <w:t xml:space="preserve">Así ocurre con el numeral 20-A, en el que el legislador fijó los supuestos de procedencia de la excepción, precisó las circunstancias que la autoridad </w:t>
      </w:r>
      <w:r>
        <w:rPr>
          <w:rFonts w:ascii="Arial" w:hAnsi="Arial"/>
          <w:b w:val="0"/>
          <w:i/>
          <w:sz w:val="28"/>
        </w:rPr>
        <w:t>“tomará en cuenta”</w:t>
      </w:r>
      <w:r>
        <w:rPr>
          <w:rFonts w:ascii="Arial" w:hAnsi="Arial"/>
          <w:b w:val="0"/>
          <w:i w:val="0"/>
          <w:sz w:val="28"/>
        </w:rPr>
        <w:t xml:space="preserve"> y determinó la consecuencia que corresponde cuando éstas concurren, de modo que, verificadas, la única alternativa jurídicamente válida consiste en abstenerse de sancionar y formular el apercibimiento por escrito.</w:t>
      </w:r>
    </w:p>
    <w:p>
      <w:pPr>
        <w:spacing w:line="360" w:lineRule="auto"/>
        <w:jc w:val="both"/>
      </w:pPr>
      <w:r>
        <w:rPr>
          <w:rFonts w:ascii="Arial" w:hAnsi="Arial"/>
          <w:b w:val="0"/>
          <w:i w:val="0"/>
          <w:sz w:val="28"/>
        </w:rPr>
        <w:t xml:space="preserve">Por ello, como lo reconoció esa Sala Regional al resolver el asunto análogo, al emplear la inflexión verbal </w:t>
      </w:r>
      <w:r>
        <w:rPr>
          <w:rFonts w:ascii="Arial" w:hAnsi="Arial"/>
          <w:b w:val="0"/>
          <w:i/>
          <w:sz w:val="28"/>
        </w:rPr>
        <w:t>“podrá”</w:t>
      </w:r>
      <w:r>
        <w:rPr>
          <w:rFonts w:ascii="Arial" w:hAnsi="Arial"/>
          <w:b w:val="0"/>
          <w:i w:val="0"/>
          <w:sz w:val="28"/>
        </w:rPr>
        <w:t xml:space="preserve"> el legislador lo hizo </w:t>
      </w:r>
      <w:r>
        <w:rPr>
          <w:rFonts w:ascii="Arial" w:hAnsi="Arial"/>
          <w:b w:val="0"/>
          <w:i/>
          <w:sz w:val="28"/>
        </w:rPr>
        <w:t>“con un sentido de obligatoriedad condicionada a que se actualicen las circunstancias ahí contenidas”</w:t>
      </w:r>
      <w:r>
        <w:rPr>
          <w:rFonts w:ascii="Arial" w:hAnsi="Arial"/>
          <w:b w:val="0"/>
          <w:i w:val="0"/>
          <w:sz w:val="28"/>
        </w:rPr>
        <w:t>, de suerte que la autoridad está obligada a abstenerse de imponer la sanción a todo contribuyente que satisfaga esas condiciones.</w:t>
      </w:r>
    </w:p>
    <w:p>
      <w:pPr>
        <w:spacing w:line="360" w:lineRule="auto"/>
        <w:jc w:val="both"/>
      </w:pPr>
      <w:r>
        <w:rPr>
          <w:rFonts w:ascii="Arial" w:hAnsi="Arial"/>
          <w:b w:val="0"/>
          <w:i w:val="0"/>
          <w:sz w:val="28"/>
        </w:rPr>
        <w:t>Conduce a la misma conclusión la interpretación sistemática, que, según Fuentes Pérez, deduce el sentido de una norma de su ubicación en el sistema jurídico y se apoya, entre otras operaciones, en la presunción de constancia terminológica, conforme a la cual el legislador usa cada término siempre con el mismo significado y, si emplea palabras distintas, éstas no pueden equivaler entre sí.</w:t>
      </w:r>
      <w:r>
        <w:rPr>
          <w:rFonts w:ascii="Arial" w:hAnsi="Arial"/>
          <w:vertAlign w:val="superscript"/>
        </w:rPr>
        <w:t>3</w:t>
      </w:r>
    </w:p>
    <w:p>
      <w:pPr>
        <w:spacing w:line="360" w:lineRule="auto"/>
        <w:jc w:val="both"/>
      </w:pPr>
      <w:r>
        <w:rPr>
          <w:rFonts w:ascii="Arial" w:hAnsi="Arial"/>
          <w:b w:val="0"/>
          <w:i w:val="0"/>
          <w:sz w:val="28"/>
        </w:rPr>
        <w:t xml:space="preserve">En efecto, cuando el legislador fiscal ha querido otorgar una potestad discrecional lo ha dicho de manera precisa, al calificarla expresamente con ese carácter, mientras que el precepto en estudio omite ese calificativo y, en su lugar, enumera requisitos objetivos y anuncia lo que los contribuyentes </w:t>
      </w:r>
      <w:r>
        <w:rPr>
          <w:rFonts w:ascii="Arial" w:hAnsi="Arial"/>
          <w:b w:val="0"/>
          <w:i/>
          <w:sz w:val="28"/>
        </w:rPr>
        <w:t>“recibirán”</w:t>
      </w:r>
      <w:r>
        <w:rPr>
          <w:rFonts w:ascii="Arial" w:hAnsi="Arial"/>
          <w:b w:val="0"/>
          <w:i w:val="0"/>
          <w:sz w:val="28"/>
        </w:rPr>
        <w:t xml:space="preserve">, por lo que leer el </w:t>
      </w:r>
      <w:r>
        <w:rPr>
          <w:rFonts w:ascii="Arial" w:hAnsi="Arial"/>
          <w:b w:val="0"/>
          <w:i/>
          <w:sz w:val="28"/>
        </w:rPr>
        <w:t>“podrá”</w:t>
      </w:r>
      <w:r>
        <w:rPr>
          <w:rFonts w:ascii="Arial" w:hAnsi="Arial"/>
          <w:b w:val="0"/>
          <w:i w:val="0"/>
          <w:sz w:val="28"/>
        </w:rPr>
        <w:t xml:space="preserve"> como un permiso libre equivaldría a dar idéntico alcance a dos fórmulas legislativas diferentes.</w:t>
      </w:r>
    </w:p>
    <w:p>
      <w:pPr>
        <w:spacing w:line="360" w:lineRule="auto"/>
        <w:jc w:val="both"/>
      </w:pPr>
      <w:r>
        <w:rPr>
          <w:rFonts w:ascii="Arial" w:hAnsi="Arial"/>
          <w:b w:val="0"/>
          <w:i w:val="0"/>
          <w:sz w:val="28"/>
        </w:rPr>
        <w:t xml:space="preserve">Ahora bien, la regla alcanza a la autoridad fiscal local que impone multas federales, ya que el artículo 14 de la Ley de Coordinación Fiscal dispone que las autoridades fiscales de las entidades adheridas al Sistema Nacional de Coordinación Fiscal </w:t>
      </w:r>
      <w:r>
        <w:rPr>
          <w:rFonts w:ascii="Arial" w:hAnsi="Arial"/>
          <w:b w:val="0"/>
          <w:i/>
          <w:sz w:val="28"/>
        </w:rPr>
        <w:t>“serán consideradas, en el ejercicio de las facultades a que se refieren los convenios o acuerdos respectivos, como autoridades fiscales federales”</w:t>
      </w:r>
      <w:r>
        <w:rPr>
          <w:rFonts w:ascii="Arial" w:hAnsi="Arial"/>
          <w:b w:val="0"/>
          <w:i w:val="0"/>
          <w:sz w:val="28"/>
        </w:rPr>
        <w:t>.</w:t>
      </w:r>
    </w:p>
    <w:p>
      <w:pPr>
        <w:spacing w:line="360" w:lineRule="auto"/>
        <w:jc w:val="both"/>
      </w:pPr>
      <w:r>
        <w:rPr>
          <w:rFonts w:ascii="Arial" w:hAnsi="Arial"/>
          <w:b w:val="0"/>
          <w:i w:val="0"/>
          <w:sz w:val="28"/>
        </w:rPr>
        <w:t>A su vez, la cláusula del convenio de colaboración citada en el planteamiento pacta que la entidad ejerza las facultades delegadas en materia de ingresos coordinados conforme a las disposiciones jurídicas federales aplicables, incluidos la normatividad, los lineamientos, las políticas y los criterios que emita la Secretaría de Hacienda y Crédito Público, lo que incorpora a su actuación el régimen completo que vincula a la administración tributaria federal.</w:t>
      </w:r>
    </w:p>
    <w:p>
      <w:pPr>
        <w:spacing w:line="360" w:lineRule="auto"/>
        <w:jc w:val="both"/>
      </w:pPr>
      <w:r>
        <w:rPr>
          <w:rFonts w:ascii="Arial" w:hAnsi="Arial"/>
          <w:b w:val="0"/>
          <w:i w:val="0"/>
          <w:sz w:val="28"/>
        </w:rPr>
        <w:t xml:space="preserve">Asimismo, tanto el último párrafo del artículo 33 del Código Fiscal de la Federación como el tercero transitorio de la ley que rige al órgano recaudador prevén que las referencias y atribuciones conferidas a la Secretaría de Hacienda y Crédito Público, en las materias vinculadas con ese ordenamiento, </w:t>
      </w:r>
      <w:r>
        <w:rPr>
          <w:rFonts w:ascii="Arial" w:hAnsi="Arial"/>
          <w:b w:val="0"/>
          <w:i/>
          <w:sz w:val="28"/>
        </w:rPr>
        <w:t>“se entenderán hechas al Servicio de Administración Tributaria”</w:t>
      </w:r>
      <w:r>
        <w:rPr>
          <w:rFonts w:ascii="Arial" w:hAnsi="Arial"/>
          <w:b w:val="0"/>
          <w:i w:val="0"/>
          <w:sz w:val="28"/>
        </w:rPr>
        <w:t>.</w:t>
      </w:r>
    </w:p>
    <w:p>
      <w:pPr>
        <w:spacing w:line="360" w:lineRule="auto"/>
        <w:jc w:val="both"/>
      </w:pPr>
      <w:r>
        <w:rPr>
          <w:rFonts w:ascii="Arial" w:hAnsi="Arial"/>
          <w:b w:val="0"/>
          <w:i w:val="0"/>
          <w:sz w:val="28"/>
        </w:rPr>
        <w:t>De ahí que la instancia estatal coordinada, al multar por infracción a disposiciones tributarias de la Federación, actúe con el carácter de autoridad fiscal federal y ejerza atribuciones que la ley asigna al órgano recaudador nacional, por lo que queda sujeta a las mismas reglas que lo vinculan, incluido el deber de abstenerse de sancionar en los supuestos del artículo 20-A.</w:t>
      </w:r>
    </w:p>
    <w:p>
      <w:pPr>
        <w:spacing w:line="360" w:lineRule="auto"/>
        <w:jc w:val="both"/>
      </w:pPr>
      <w:r>
        <w:rPr>
          <w:rFonts w:ascii="Arial" w:hAnsi="Arial"/>
          <w:b w:val="0"/>
          <w:i w:val="0"/>
          <w:sz w:val="28"/>
        </w:rPr>
        <w:t>Por otra parte, el precepto se refiere a las sanciones correspondientes a las infracciones descubiertas con motivo del ejercicio de facultades de comprobación sin diferenciar entre las que derivan de contribuciones omitidas y las de carácter formal, y Huerta Ochoa recuerda que, cuando el legislador se expresa en términos generales, el intérprete no debe entenderlo en un sentido particular ni le está permitido hacer distinciones que la ley no hace de modo expreso.</w:t>
      </w:r>
      <w:r>
        <w:rPr>
          <w:rFonts w:ascii="Arial" w:hAnsi="Arial"/>
          <w:vertAlign w:val="superscript"/>
        </w:rPr>
        <w:t>4</w:t>
      </w:r>
    </w:p>
    <w:p>
      <w:pPr>
        <w:spacing w:line="360" w:lineRule="auto"/>
        <w:jc w:val="both"/>
      </w:pPr>
      <w:r>
        <w:rPr>
          <w:rFonts w:ascii="Arial" w:hAnsi="Arial"/>
          <w:b w:val="0"/>
          <w:i w:val="0"/>
          <w:sz w:val="28"/>
        </w:rPr>
        <w:t>Así lo entendió también la Sala Regional que resolvió el asunto análogo antes aludido, al considerar que el único análisis que corresponde sobre el artículo 20-A consiste en determinar si las sanciones impuestas derivan de infracciones descubiertas con motivo del ejercicio de las facultades de comprobación, sin distingo entre las cuestiones de fondo y las de forma, como las que prevé el numeral 83 del Código Fiscal de la Federación.</w:t>
      </w:r>
    </w:p>
    <w:p>
      <w:pPr>
        <w:spacing w:line="360" w:lineRule="auto"/>
        <w:jc w:val="both"/>
      </w:pPr>
      <w:r>
        <w:rPr>
          <w:rFonts w:ascii="Arial" w:hAnsi="Arial"/>
          <w:b w:val="0"/>
          <w:i w:val="0"/>
          <w:sz w:val="28"/>
        </w:rPr>
        <w:t>Tratándose de infracciones formales, la circunstancia relativa a errores u omisiones no graves se verifica a partir de la individualización de la sanción, porque cuando la autoridad impone el mínimo legal sin invocar alguna de las agravantes que enumera el artículo 75 del Código Fiscal de la Federación, ella misma reconoce que la conducta carece de gravedad.</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encuadran en la premisa expuesta, porque la </w:t>
      </w:r>
      <w:r>
        <w:rPr>
          <w:rFonts w:ascii="Arial" w:hAnsi="Arial"/>
          <w:b/>
          <w:i w:val="0"/>
          <w:sz w:val="28"/>
        </w:rPr>
        <w:t>[AUTORIDAD EMISORA DE LA MULTA]</w:t>
      </w:r>
      <w:r>
        <w:rPr>
          <w:rFonts w:ascii="Arial" w:hAnsi="Arial"/>
          <w:b w:val="0"/>
          <w:i w:val="0"/>
          <w:sz w:val="28"/>
        </w:rPr>
        <w:t xml:space="preserve">, actuando como autoridad fiscal de </w:t>
      </w:r>
      <w:r>
        <w:rPr>
          <w:rFonts w:ascii="Arial" w:hAnsi="Arial"/>
          <w:b/>
          <w:i w:val="0"/>
          <w:sz w:val="28"/>
        </w:rPr>
        <w:t>[ENTIDAD FEDERATIVA COORDINADA]</w:t>
      </w:r>
      <w:r>
        <w:rPr>
          <w:rFonts w:ascii="Arial" w:hAnsi="Arial"/>
          <w:b w:val="0"/>
          <w:i w:val="0"/>
          <w:sz w:val="28"/>
        </w:rPr>
        <w:t xml:space="preserve"> en ejercicio de las facultades delegadas, impuso a la parte actora una multa de </w:t>
      </w:r>
      <w:r>
        <w:rPr>
          <w:rFonts w:ascii="Arial" w:hAnsi="Arial"/>
          <w:b/>
          <w:i w:val="0"/>
          <w:sz w:val="28"/>
        </w:rPr>
        <w:t>[MONTO DE LA MULTA]</w:t>
      </w:r>
      <w:r>
        <w:rPr>
          <w:rFonts w:ascii="Arial" w:hAnsi="Arial"/>
          <w:b w:val="0"/>
          <w:i w:val="0"/>
          <w:sz w:val="28"/>
        </w:rPr>
        <w:t xml:space="preserve"> con fundamento en </w:t>
      </w:r>
      <w:r>
        <w:rPr>
          <w:rFonts w:ascii="Arial" w:hAnsi="Arial"/>
          <w:b/>
          <w:i w:val="0"/>
          <w:sz w:val="28"/>
        </w:rPr>
        <w:t>[PRECEPTOS DEL CÓDIGO FISCAL DE LA FEDERACIÓN QUE FUNDAN LA MULTA]</w:t>
      </w:r>
      <w:r>
        <w:rPr>
          <w:rFonts w:ascii="Arial" w:hAnsi="Arial"/>
          <w:b w:val="0"/>
          <w:i w:val="0"/>
          <w:sz w:val="28"/>
        </w:rPr>
        <w:t>, según consta en la propia resolución sancionadora.</w:t>
      </w:r>
    </w:p>
    <w:p>
      <w:pPr>
        <w:spacing w:line="360" w:lineRule="auto"/>
        <w:jc w:val="both"/>
      </w:pPr>
      <w:r>
        <w:rPr>
          <w:rFonts w:ascii="Arial" w:hAnsi="Arial"/>
          <w:b/>
          <w:sz w:val="28"/>
        </w:rPr>
        <w:t>El supuesto de procedencia.</w:t>
      </w:r>
    </w:p>
    <w:p>
      <w:pPr>
        <w:spacing w:line="360" w:lineRule="auto"/>
        <w:jc w:val="both"/>
      </w:pPr>
      <w:r>
        <w:rPr>
          <w:rFonts w:ascii="Arial" w:hAnsi="Arial"/>
          <w:b w:val="0"/>
          <w:i w:val="0"/>
          <w:sz w:val="28"/>
        </w:rPr>
        <w:t xml:space="preserve">La conducta sancionada se detectó a raíz de </w:t>
      </w:r>
      <w:r>
        <w:rPr>
          <w:rFonts w:ascii="Arial" w:hAnsi="Arial"/>
          <w:b/>
          <w:i w:val="0"/>
          <w:sz w:val="28"/>
        </w:rPr>
        <w:t>[ACTUACIÓN DE COMPROBACIÓN CON LA QUE SE DESCUBRIÓ LA INFRACCIÓN]</w:t>
      </w:r>
      <w:r>
        <w:rPr>
          <w:rFonts w:ascii="Arial" w:hAnsi="Arial"/>
          <w:b w:val="0"/>
          <w:i w:val="0"/>
          <w:sz w:val="28"/>
        </w:rPr>
        <w:t>, acto mediante el cual la autoridad revisó el cumplimiento de las obligaciones fiscales de la parte actora y del que derivó directamente la sanción, de modo que se ubica en la hipótesis de las infracciones descubiertas con motivo del ejercicio de facultades de comprobación, sin que importe su carácter formal, por las razones expuestas en el apartado anterior.</w:t>
      </w:r>
    </w:p>
    <w:p>
      <w:pPr>
        <w:spacing w:line="360" w:lineRule="auto"/>
        <w:jc w:val="both"/>
      </w:pPr>
      <w:r>
        <w:rPr>
          <w:rFonts w:ascii="Arial" w:hAnsi="Arial"/>
          <w:b/>
          <w:sz w:val="28"/>
        </w:rPr>
        <w:t>Primera circunstancia. El monto no excede del equivalente a 3,500 unidades de inversión.</w:t>
      </w:r>
    </w:p>
    <w:p>
      <w:pPr>
        <w:spacing w:line="360" w:lineRule="auto"/>
        <w:jc w:val="both"/>
      </w:pPr>
      <w:r>
        <w:rPr>
          <w:rFonts w:ascii="Arial" w:hAnsi="Arial"/>
          <w:b w:val="0"/>
          <w:i w:val="0"/>
          <w:sz w:val="28"/>
        </w:rPr>
        <w:t xml:space="preserve">A la fecha de emisión de la resolución que impuso la multa, la unidad de inversión tenía un valor de </w:t>
      </w:r>
      <w:r>
        <w:rPr>
          <w:rFonts w:ascii="Arial" w:hAnsi="Arial"/>
          <w:b/>
          <w:i w:val="0"/>
          <w:sz w:val="28"/>
        </w:rPr>
        <w:t>[VALOR DE LA UNIDAD DE INVERSIÓN EN LA FECHA DE LA RESOLUCIÓN DETERMINANTE]</w:t>
      </w:r>
      <w:r>
        <w:rPr>
          <w:rFonts w:ascii="Arial" w:hAnsi="Arial"/>
          <w:b w:val="0"/>
          <w:i w:val="0"/>
          <w:sz w:val="28"/>
        </w:rPr>
        <w:t xml:space="preserve"> pesos, según la serie que publica el Banco de México, de modo que 3,500 unidades equivalían a </w:t>
      </w:r>
      <w:r>
        <w:rPr>
          <w:rFonts w:ascii="Arial" w:hAnsi="Arial"/>
          <w:b/>
          <w:i w:val="0"/>
          <w:sz w:val="28"/>
        </w:rPr>
        <w:t>[EQUIVALENTE EN PESOS DE 3,500 UNIDADES DE INVERSIÓN]</w:t>
      </w:r>
      <w:r>
        <w:rPr>
          <w:rFonts w:ascii="Arial" w:hAnsi="Arial"/>
          <w:b w:val="0"/>
          <w:i w:val="0"/>
          <w:sz w:val="28"/>
        </w:rPr>
        <w:t xml:space="preserve">, cantidad que la sanción de </w:t>
      </w:r>
      <w:r>
        <w:rPr>
          <w:rFonts w:ascii="Arial" w:hAnsi="Arial"/>
          <w:b/>
          <w:i w:val="0"/>
          <w:sz w:val="28"/>
        </w:rPr>
        <w:t>[MONTO DE LA MULTA]</w:t>
      </w:r>
      <w:r>
        <w:rPr>
          <w:rFonts w:ascii="Arial" w:hAnsi="Arial"/>
          <w:b w:val="0"/>
          <w:i w:val="0"/>
          <w:sz w:val="28"/>
        </w:rPr>
        <w:t xml:space="preserve"> no rebasa.</w:t>
      </w:r>
    </w:p>
    <w:p>
      <w:pPr>
        <w:spacing w:line="360" w:lineRule="auto"/>
        <w:jc w:val="both"/>
      </w:pPr>
      <w:r>
        <w:rPr>
          <w:rFonts w:ascii="Arial" w:hAnsi="Arial"/>
          <w:b w:val="0"/>
          <w:i w:val="0"/>
          <w:sz w:val="28"/>
        </w:rPr>
        <w:t xml:space="preserve">Ese valor, difundido por el banco central en su sitio oficial, constituye un hecho notorio que la Sala puede tomar en cuenta, pues el primer párrafo del artículo 50 de la ley procesal le reconoce </w:t>
      </w:r>
      <w:r>
        <w:rPr>
          <w:rFonts w:ascii="Arial" w:hAnsi="Arial"/>
          <w:b w:val="0"/>
          <w:i/>
          <w:sz w:val="28"/>
        </w:rPr>
        <w:t>“la facultad de invocar hechos notorios”</w:t>
      </w:r>
      <w:r>
        <w:rPr>
          <w:rFonts w:ascii="Arial" w:hAnsi="Arial"/>
          <w:b w:val="0"/>
          <w:i w:val="0"/>
          <w:sz w:val="28"/>
        </w:rPr>
        <w:t>, sin perjuicio de lo cual se exhibe la impresión de la consulta respectiva como prueba de la parte actora.</w:t>
      </w:r>
    </w:p>
    <w:p>
      <w:pPr>
        <w:spacing w:line="360" w:lineRule="auto"/>
        <w:jc w:val="both"/>
      </w:pPr>
      <w:r>
        <w:rPr>
          <w:rFonts w:ascii="Arial" w:hAnsi="Arial"/>
          <w:b/>
          <w:sz w:val="28"/>
        </w:rPr>
        <w:t>Segunda circunstancia. La omisión carece de gravedad.</w:t>
      </w:r>
    </w:p>
    <w:p>
      <w:pPr>
        <w:spacing w:line="360" w:lineRule="auto"/>
        <w:jc w:val="both"/>
      </w:pPr>
      <w:r>
        <w:rPr>
          <w:rFonts w:ascii="Arial" w:hAnsi="Arial"/>
          <w:b w:val="0"/>
          <w:i w:val="0"/>
          <w:sz w:val="28"/>
        </w:rPr>
        <w:t>La autoridad impuso el monto mínimo del rango previsto en el precepto que aplicó y, en su motivación, no invocó reincidencia ni alguna otra de las agravantes que enumera el artículo 75 del Código Fiscal de la Federación, de manera que, conforme a su propia individualización, la conducta sancionada corresponde a una omisión no grave.</w:t>
      </w:r>
    </w:p>
    <w:p>
      <w:pPr>
        <w:spacing w:line="360" w:lineRule="auto"/>
        <w:jc w:val="both"/>
      </w:pPr>
      <w:r>
        <w:rPr>
          <w:rFonts w:ascii="Arial" w:hAnsi="Arial"/>
          <w:b/>
          <w:sz w:val="28"/>
        </w:rPr>
        <w:t>Tercera circunstancia. La parte actora no se ha beneficiado antes de la excepción.</w:t>
      </w:r>
    </w:p>
    <w:p>
      <w:pPr>
        <w:spacing w:line="360" w:lineRule="auto"/>
        <w:jc w:val="both"/>
      </w:pPr>
      <w:r>
        <w:rPr>
          <w:rFonts w:ascii="Arial" w:hAnsi="Arial"/>
          <w:b w:val="0"/>
          <w:i w:val="0"/>
          <w:sz w:val="28"/>
        </w:rPr>
        <w:t>La parte actora manifiesta, bajo protesta de decir verdad, que nunca ha recibido el apercibimiento previsto en el artículo 20-A ni ha sido beneficiada con la abstención que ese precepto regula, y ni la resolución sancionadora ni la recaída al recurso contienen dato alguno en sentido contrario, aun cuando la información sobre la aplicación previa de esa excepción obra en poder de la propia autoridad.</w:t>
      </w:r>
    </w:p>
    <w:p>
      <w:pPr>
        <w:spacing w:line="360" w:lineRule="auto"/>
        <w:jc w:val="both"/>
      </w:pPr>
      <w:r>
        <w:rPr>
          <w:rFonts w:ascii="Arial" w:hAnsi="Arial"/>
          <w:b w:val="0"/>
          <w:i w:val="0"/>
          <w:sz w:val="28"/>
        </w:rPr>
        <w:t>Se trata de un hecho negativo cuya refutación corresponde a la demandada, que es quien emite los apercibimientos y conserva constancia de ellos; por esa razón, como se consideró en el asunto análogo ya mencionado, la falta de indicio en autos y de defensa de la autoridad sobre este punto basta para tener por satisfecha la circunstancia.</w:t>
      </w:r>
    </w:p>
    <w:p>
      <w:pPr>
        <w:spacing w:line="360" w:lineRule="auto"/>
        <w:jc w:val="both"/>
      </w:pPr>
      <w:r>
        <w:rPr>
          <w:rFonts w:ascii="Arial" w:hAnsi="Arial"/>
          <w:b/>
          <w:sz w:val="28"/>
        </w:rPr>
        <w:t>La subsunción.</w:t>
      </w:r>
    </w:p>
    <w:p>
      <w:pPr>
        <w:spacing w:line="360" w:lineRule="auto"/>
        <w:jc w:val="both"/>
      </w:pPr>
      <w:r>
        <w:rPr>
          <w:rFonts w:ascii="Arial" w:hAnsi="Arial"/>
          <w:b w:val="0"/>
          <w:i w:val="0"/>
          <w:sz w:val="28"/>
        </w:rPr>
        <w:t xml:space="preserve">Reunidos el supuesto de procedencia y las tres circunstancias, la autoridad tenía el deber de abstenerse de imponer la multa y de formular, en su lugar, un apercibimiento por escrito, de modo que, al sancionar, emitió una resolución que, en los términos de la fracción IV del artículo 51 de la Ley Federal de Procedimiento Contencioso Administrativo, </w:t>
      </w:r>
      <w:r>
        <w:rPr>
          <w:rFonts w:ascii="Arial" w:hAnsi="Arial"/>
          <w:b w:val="0"/>
          <w:i/>
          <w:sz w:val="28"/>
        </w:rPr>
        <w:t>“dejó de aplicar las debidas, en cuanto al fondo del asunto”</w:t>
      </w:r>
      <w:r>
        <w:rPr>
          <w:rFonts w:ascii="Arial" w:hAnsi="Arial"/>
          <w:b w:val="0"/>
          <w:i w:val="0"/>
          <w:sz w:val="28"/>
        </w:rPr>
        <w:t>.</w:t>
      </w:r>
    </w:p>
    <w:p>
      <w:pPr>
        <w:spacing w:line="360" w:lineRule="auto"/>
        <w:jc w:val="both"/>
      </w:pPr>
      <w:r>
        <w:rPr>
          <w:rFonts w:ascii="Arial" w:hAnsi="Arial"/>
          <w:b w:val="0"/>
          <w:i w:val="0"/>
          <w:sz w:val="28"/>
        </w:rPr>
        <w:t xml:space="preserve">El vicio se transmite a la resolución impugnada, porque la </w:t>
      </w:r>
      <w:r>
        <w:rPr>
          <w:rFonts w:ascii="Arial" w:hAnsi="Arial"/>
          <w:b/>
          <w:i w:val="0"/>
          <w:sz w:val="28"/>
        </w:rPr>
        <w:t>[AUTORIDAD QUE RESOLVIÓ EL RECURSO DE REVOCACIÓN]</w:t>
      </w:r>
      <w:r>
        <w:rPr>
          <w:rFonts w:ascii="Arial" w:hAnsi="Arial"/>
          <w:b w:val="0"/>
          <w:i w:val="0"/>
          <w:sz w:val="28"/>
        </w:rPr>
        <w:t>, lejos de corregirlo, confirmó la multa y con ello hizo suya la omisión de aplicar el precepto, por lo que ambos actos comparten la misma causa de ilegalidad.</w:t>
      </w:r>
    </w:p>
    <w:p>
      <w:pPr>
        <w:spacing w:line="360" w:lineRule="auto"/>
        <w:jc w:val="both"/>
      </w:pPr>
      <w:r>
        <w:rPr>
          <w:rFonts w:ascii="Arial" w:hAnsi="Arial"/>
          <w:b/>
          <w:sz w:val="28"/>
        </w:rPr>
        <w:t>Refutación de la motivación de la autoridad.</w:t>
      </w:r>
    </w:p>
    <w:p>
      <w:pPr>
        <w:spacing w:line="360" w:lineRule="auto"/>
        <w:jc w:val="both"/>
      </w:pPr>
      <w:r>
        <w:rPr>
          <w:rFonts w:ascii="Arial" w:hAnsi="Arial"/>
          <w:b w:val="0"/>
          <w:i w:val="0"/>
          <w:sz w:val="28"/>
        </w:rPr>
        <w:t xml:space="preserve">Frente a ello, la autoridad sostuvo que </w:t>
      </w:r>
      <w:r>
        <w:rPr>
          <w:rFonts w:ascii="Arial" w:hAnsi="Arial"/>
          <w:b/>
          <w:i w:val="0"/>
          <w:sz w:val="28"/>
        </w:rPr>
        <w:t>[TRANSCRIPCIÓN DEL ARGUMENTO DE LA AUTORIDAD SOBRE EL ARTÍCULO 20-A]</w:t>
      </w:r>
      <w:r>
        <w:rPr>
          <w:rFonts w:ascii="Arial" w:hAnsi="Arial"/>
          <w:b w:val="0"/>
          <w:i w:val="0"/>
          <w:sz w:val="28"/>
        </w:rPr>
        <w:t xml:space="preserve">, argumento que, en esencia, descansa en que el verbo </w:t>
      </w:r>
      <w:r>
        <w:rPr>
          <w:rFonts w:ascii="Arial" w:hAnsi="Arial"/>
          <w:b w:val="0"/>
          <w:i/>
          <w:sz w:val="28"/>
        </w:rPr>
        <w:t>“podrá”</w:t>
      </w:r>
      <w:r>
        <w:rPr>
          <w:rFonts w:ascii="Arial" w:hAnsi="Arial"/>
          <w:b w:val="0"/>
          <w:i w:val="0"/>
          <w:sz w:val="28"/>
        </w:rPr>
        <w:t xml:space="preserve"> le confiere una potestad discrecional para decidir si sanciona o se abstiene, aun cuando concurran todas las circunstancias legales.</w:t>
      </w:r>
    </w:p>
    <w:p>
      <w:pPr>
        <w:spacing w:line="360" w:lineRule="auto"/>
        <w:jc w:val="both"/>
      </w:pPr>
      <w:r>
        <w:rPr>
          <w:rFonts w:ascii="Arial" w:hAnsi="Arial"/>
          <w:b w:val="0"/>
          <w:i w:val="0"/>
          <w:sz w:val="28"/>
        </w:rPr>
        <w:t>Ese razonamiento incurre en la falacia de ambigüedad o del equívoco, que García Damborenea describe como el empleo, en un mismo argumento, de palabras o frases en más de un sentido, aprovechando que la lengua está llena de vocablos polisémicos a los que cada quien puede atribuir un significado distinto.</w:t>
      </w:r>
      <w:r>
        <w:rPr>
          <w:rFonts w:ascii="Arial" w:hAnsi="Arial"/>
          <w:vertAlign w:val="superscript"/>
        </w:rPr>
        <w:t>5</w:t>
      </w:r>
    </w:p>
    <w:p>
      <w:pPr>
        <w:spacing w:line="360" w:lineRule="auto"/>
        <w:jc w:val="both"/>
      </w:pPr>
      <w:r>
        <w:rPr>
          <w:rFonts w:ascii="Arial" w:hAnsi="Arial"/>
          <w:b w:val="0"/>
          <w:i w:val="0"/>
          <w:sz w:val="28"/>
        </w:rPr>
        <w:t xml:space="preserve">En efecto, la autoridad toma el </w:t>
      </w:r>
      <w:r>
        <w:rPr>
          <w:rFonts w:ascii="Arial" w:hAnsi="Arial"/>
          <w:b w:val="0"/>
          <w:i/>
          <w:sz w:val="28"/>
        </w:rPr>
        <w:t>“podrá”</w:t>
      </w:r>
      <w:r>
        <w:rPr>
          <w:rFonts w:ascii="Arial" w:hAnsi="Arial"/>
          <w:b w:val="0"/>
          <w:i w:val="0"/>
          <w:sz w:val="28"/>
        </w:rPr>
        <w:t xml:space="preserve"> en su acepción coloquial de simple permiso y la traslada a un precepto en el que, por su estructura, ese verbo funciona como mandato condicionado, de suerte que su conclusión descansa en el significado común de la palabra y prescinde del que ésta adquiere dentro del sistema normativo.</w:t>
      </w:r>
    </w:p>
    <w:p>
      <w:pPr>
        <w:spacing w:line="360" w:lineRule="auto"/>
        <w:jc w:val="both"/>
      </w:pPr>
      <w:r>
        <w:rPr>
          <w:rFonts w:ascii="Arial" w:hAnsi="Arial"/>
          <w:b w:val="0"/>
          <w:i w:val="0"/>
          <w:sz w:val="28"/>
        </w:rPr>
        <w:t xml:space="preserve">El razonamiento correcto parte del texto completo del numeral, que enumera las circunstancias que la autoridad </w:t>
      </w:r>
      <w:r>
        <w:rPr>
          <w:rFonts w:ascii="Arial" w:hAnsi="Arial"/>
          <w:b w:val="0"/>
          <w:i/>
          <w:sz w:val="28"/>
        </w:rPr>
        <w:t>“tomará en cuenta”</w:t>
      </w:r>
      <w:r>
        <w:rPr>
          <w:rFonts w:ascii="Arial" w:hAnsi="Arial"/>
          <w:b w:val="0"/>
          <w:i w:val="0"/>
          <w:sz w:val="28"/>
        </w:rPr>
        <w:t xml:space="preserve"> y anuncia que los contribuyentes beneficiados </w:t>
      </w:r>
      <w:r>
        <w:rPr>
          <w:rFonts w:ascii="Arial" w:hAnsi="Arial"/>
          <w:b w:val="0"/>
          <w:i/>
          <w:sz w:val="28"/>
        </w:rPr>
        <w:t>“recibirán”</w:t>
      </w:r>
      <w:r>
        <w:rPr>
          <w:rFonts w:ascii="Arial" w:hAnsi="Arial"/>
          <w:b w:val="0"/>
          <w:i w:val="0"/>
          <w:sz w:val="28"/>
        </w:rPr>
        <w:t xml:space="preserve"> un apercibimiento, y lo contrasta con los preceptos del Código Fiscal de la Federación que, cuando confieren discrecionalidad, la nombran expresamente; hecho ese ejercicio, el equívoco se disipa y el </w:t>
      </w:r>
      <w:r>
        <w:rPr>
          <w:rFonts w:ascii="Arial" w:hAnsi="Arial"/>
          <w:b w:val="0"/>
          <w:i/>
          <w:sz w:val="28"/>
        </w:rPr>
        <w:t>“podrá”</w:t>
      </w:r>
      <w:r>
        <w:rPr>
          <w:rFonts w:ascii="Arial" w:hAnsi="Arial"/>
          <w:b w:val="0"/>
          <w:i w:val="0"/>
          <w:sz w:val="28"/>
        </w:rPr>
        <w:t xml:space="preserve"> se revela como una obligación sujeta a condiciones verificables.</w:t>
      </w:r>
    </w:p>
    <w:p>
      <w:pPr>
        <w:spacing w:line="360" w:lineRule="auto"/>
        <w:jc w:val="both"/>
      </w:pPr>
      <w:r>
        <w:rPr>
          <w:rFonts w:ascii="Arial" w:hAnsi="Arial"/>
          <w:b w:val="0"/>
          <w:i w:val="0"/>
          <w:sz w:val="28"/>
        </w:rPr>
        <w:t>Si, además, la autoridad alega que la parte actora no acreditó satisfacer las circunstancias del precepto, o que debía solicitar expresamente el beneficio, incurre en la falacia de eludir la carga de la prueba, que García Damborenea define como no aportar razones que fundamenten la conclusión o pretender que las aporte el oponente.</w:t>
      </w:r>
      <w:r>
        <w:rPr>
          <w:rFonts w:ascii="Arial" w:hAnsi="Arial"/>
          <w:vertAlign w:val="superscript"/>
        </w:rPr>
        <w:t>6</w:t>
      </w:r>
    </w:p>
    <w:p>
      <w:pPr>
        <w:spacing w:line="360" w:lineRule="auto"/>
        <w:jc w:val="both"/>
      </w:pPr>
      <w:r>
        <w:rPr>
          <w:rFonts w:ascii="Arial" w:hAnsi="Arial"/>
          <w:b w:val="0"/>
          <w:i w:val="0"/>
          <w:sz w:val="28"/>
        </w:rPr>
        <w:t>Ciertamente, el precepto encomienda a la autoridad tomar en cuenta las circunstancias al ejercer la facultad, sin condicionar la excepción a una solicitud del contribuyente, y los datos sobre el monto, la individualización de la multa y los apercibimientos anteriores constan en sus propios registros y resoluciones, de suerte que a ella correspondía verificar de oficio la procedencia de la abstención y, en su caso, expresar por qué no se actualizaba.</w:t>
      </w:r>
    </w:p>
    <w:p>
      <w:pPr>
        <w:spacing w:line="360" w:lineRule="auto"/>
        <w:jc w:val="both"/>
      </w:pPr>
      <w:r>
        <w:rPr>
          <w:rFonts w:ascii="Arial" w:hAnsi="Arial"/>
          <w:b w:val="0"/>
          <w:i w:val="0"/>
          <w:sz w:val="28"/>
        </w:rPr>
        <w:t>Tampoco resiste el análisis la objeción de que el artículo 20-A sólo rige al Servicio de Administración Tributaria, porque pasa por alto que el órgano estatal coordinado actúa como autoridad fiscal federal al ejercer las facultades delegadas, como quedó expuesto.</w:t>
      </w:r>
    </w:p>
    <w:p>
      <w:pPr>
        <w:spacing w:line="360" w:lineRule="auto"/>
        <w:jc w:val="both"/>
      </w:pPr>
      <w:r>
        <w:rPr>
          <w:rFonts w:ascii="Arial" w:hAnsi="Arial"/>
          <w:b w:val="0"/>
          <w:i w:val="0"/>
          <w:sz w:val="28"/>
        </w:rPr>
        <w:t xml:space="preserve">Por último, si la autoridad pretendiera que la excepción sólo comprende la determinación de contribuciones omitidas y no las multas por infracciones formales, introduciría una distinción que el legislador no estableció, pues el texto alude a </w:t>
      </w:r>
      <w:r>
        <w:rPr>
          <w:rFonts w:ascii="Arial" w:hAnsi="Arial"/>
          <w:b w:val="0"/>
          <w:i/>
          <w:sz w:val="28"/>
        </w:rPr>
        <w:t>“las sanciones correspondientes a las infracciones descubiertas con motivo del ejercicio de sus facultades de comprobación”</w:t>
      </w:r>
      <w:r>
        <w:rPr>
          <w:rFonts w:ascii="Arial" w:hAnsi="Arial"/>
          <w:b w:val="0"/>
          <w:i w:val="0"/>
          <w:sz w:val="28"/>
        </w:rPr>
        <w:t>, sin acotarlas a una categoría determinada.</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el artículo 20-A de la Ley del Servicio de Administración Tributaria impone a la autoridad fiscal, incluida la estatal coordinada, el deber de abstenerse de sancionar cuando concurren sus circunstancias; en el caso se reúnen todas y, pese a ello, se impuso y se confirmó la multa, por lo que ambas resoluciones se dictaron sin aplicar la disposición que regía el fondo del asunto.</w:t>
      </w:r>
    </w:p>
    <w:p>
      <w:pPr>
        <w:spacing w:line="360" w:lineRule="auto"/>
        <w:jc w:val="both"/>
      </w:pPr>
      <w:r>
        <w:rPr>
          <w:rFonts w:ascii="Arial" w:hAnsi="Arial"/>
          <w:b w:val="0"/>
          <w:i w:val="0"/>
          <w:sz w:val="28"/>
        </w:rPr>
        <w:t>Por lo expuesto, se solicita declarar fundado este concepto de impugnación y, con apoyo en los numerales 51, fracción IV, y 52, fracción II, de la Ley Federal de Procedimiento Contencioso Administrativo, decretar la nulidad lisa y llana de la resolución impugnada y de la multa que confirmó, sobre la cual debe pronunciarse la Sala en términos del cuarto párrafo del precepto 50 del mismo ordenamiento, al contar con elementos suficientes para ello.</w:t>
      </w:r>
    </w:p>
    <w:p>
      <w:pPr>
        <w:spacing w:line="360" w:lineRule="auto"/>
        <w:jc w:val="both"/>
      </w:pPr>
      <w:r>
        <w:rPr>
          <w:rFonts w:ascii="Arial" w:hAnsi="Arial"/>
          <w:b w:val="0"/>
          <w:i w:val="0"/>
          <w:sz w:val="28"/>
        </w:rPr>
        <w:t>Se pide también que la sentencia precise que, conforme al propio artículo 20-A, la conducta atribuida a la parte actora sólo admitía el apercibimiento por escrito que ese precepto prevé, a fin de que la autoridad no pretenda sancionarla de nuevo por los mismos hechos.</w:t>
      </w:r>
    </w:p>
    <w:p>
      <w:pPr>
        <w:spacing w:line="360" w:lineRule="auto"/>
        <w:jc w:val="both"/>
      </w:pPr>
      <w:r>
        <w:rPr>
          <w:rFonts w:ascii="Arial" w:hAnsi="Arial"/>
          <w:b w:val="0"/>
          <w:i w:val="0"/>
          <w:sz w:val="28"/>
        </w:rPr>
        <w:t>Para el caso de que la multa se hubiera pagado, se solicita además reconocer el derecho de la parte actora a la devolución de lo enterado por ese concepto y condenar a la autoridad a efectuarla, conforme al inciso a) de la fracción V del artículo 52 de la ley procesal, previa constatación de esa prerrogativa en los términos que exige el quinto párrafo de su numeral 50.</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GÓMORA JUÁREZ, Sandra, </w:t>
      </w:r>
      <w:r>
        <w:rPr>
          <w:rFonts w:ascii="Arial" w:hAnsi="Arial"/>
          <w:i/>
          <w:sz w:val="20"/>
        </w:rPr>
        <w:t>Un análisis conceptual del precedente judicial</w:t>
      </w:r>
      <w:r>
        <w:rPr>
          <w:rFonts w:ascii="Arial" w:hAnsi="Arial"/>
          <w:i w:val="0"/>
          <w:sz w:val="20"/>
        </w:rPr>
        <w:t>, Universidad Nacional Autónoma de México, Instituto de Investigaciones Jurídicas, México, 2018, p. 220.</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IBARRA OLGUÍN, Ana María (ed.), </w:t>
      </w:r>
      <w:r>
        <w:rPr>
          <w:rFonts w:ascii="Arial" w:hAnsi="Arial"/>
          <w:i/>
          <w:sz w:val="20"/>
        </w:rPr>
        <w:t>Curso de derechos humanos</w:t>
      </w:r>
      <w:r>
        <w:rPr>
          <w:rFonts w:ascii="Arial" w:hAnsi="Arial"/>
          <w:i w:val="0"/>
          <w:sz w:val="20"/>
        </w:rPr>
        <w:t>, Tirant lo Blanch, México, 2022, p. 60.</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FUENTES PÉREZ, Dalia Berenice, </w:t>
      </w:r>
      <w:r>
        <w:rPr>
          <w:rFonts w:ascii="Arial" w:hAnsi="Arial"/>
          <w:i/>
          <w:sz w:val="20"/>
        </w:rPr>
        <w:t>Guía de argumentación con perspectiva de derechos humanos. Fase de actualización permanente</w:t>
      </w:r>
      <w:r>
        <w:rPr>
          <w:rFonts w:ascii="Arial" w:hAnsi="Arial"/>
          <w:i w:val="0"/>
          <w:sz w:val="20"/>
        </w:rPr>
        <w:t>, Comisión de Derechos Humanos del Distrito Federal, México, 2013, p. 27.</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 p. 150.</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38.</w:t>
      </w:r>
    </w:p>
    <w:p/>
    <w:p>
      <w:r>
        <w:rPr>
          <w:rFonts w:ascii="Arial" w:hAnsi="Arial"/>
          <w:b/>
          <w:sz w:val="22"/>
        </w:rPr>
        <w:t>BIBLIOGRAFÍA</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FUENTES PÉREZ, Dalia Berenice, </w:t>
      </w:r>
      <w:r>
        <w:rPr>
          <w:rFonts w:ascii="Arial" w:hAnsi="Arial"/>
          <w:i/>
          <w:sz w:val="20"/>
        </w:rPr>
        <w:t>Guía de argumentación con perspectiva de derechos humanos. Fase de actualización permanente</w:t>
      </w:r>
      <w:r>
        <w:rPr>
          <w:rFonts w:ascii="Arial" w:hAnsi="Arial"/>
          <w:i w:val="0"/>
          <w:sz w:val="20"/>
        </w:rPr>
        <w:t>, Comisión de Derechos Humanos del Distrito Federal, México, 2013.</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GÓMORA JUÁREZ, Sandra, </w:t>
      </w:r>
      <w:r>
        <w:rPr>
          <w:rFonts w:ascii="Arial" w:hAnsi="Arial"/>
          <w:i/>
          <w:sz w:val="20"/>
        </w:rPr>
        <w:t>Un análisis conceptual del precedente judicial</w:t>
      </w:r>
      <w:r>
        <w:rPr>
          <w:rFonts w:ascii="Arial" w:hAnsi="Arial"/>
          <w:i w:val="0"/>
          <w:sz w:val="20"/>
        </w:rPr>
        <w:t>, Universidad Nacional Autónoma de México, Instituto de Investigaciones Jurídicas, México, 2018.</w:t>
      </w:r>
    </w:p>
    <w:p>
      <w:pPr>
        <w:spacing w:after="60"/>
        <w:ind w:left="360" w:hanging="360"/>
        <w:jc w:val="both"/>
      </w:pPr>
      <w:r>
        <w:rPr>
          <w:rFonts w:ascii="Arial" w:hAnsi="Arial"/>
          <w:i w:val="0"/>
          <w:sz w:val="20"/>
        </w:rPr>
        <w:t xml:space="preserve">IBARRA OLGUÍN, Ana María (ed.), </w:t>
      </w:r>
      <w:r>
        <w:rPr>
          <w:rFonts w:ascii="Arial" w:hAnsi="Arial"/>
          <w:i/>
          <w:sz w:val="20"/>
        </w:rPr>
        <w:t>Curso de derechos humanos</w:t>
      </w:r>
      <w:r>
        <w:rPr>
          <w:rFonts w:ascii="Arial" w:hAnsi="Arial"/>
          <w:i w:val="0"/>
          <w:sz w:val="20"/>
        </w:rPr>
        <w:t>, Tirant lo Blanch, México, 2022.</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