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PRÉSTAMO INTERCOMPAÑÍAS FRENTE A LA PRESUNCIÓN DE DEPÓSITOS EN LA DEVOLUCIÓN DE IVA</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y léelo completo antes de adaptarlo. Primero define qué impugnas: si es la resolución expresa del recurso de revocación, la demanda se presenta dentro de treinta días (artículo 13, fracción I, de la Ley Federal de Procedimiento Contencioso Administrativo en la vía ordinaria; artículo 58-2, párrafo tercero, en la sumaria); si la autoridad no resolvió, el artículo 131 del Código Fiscal de la Federación permite impugnar la confirmación presunta en cualquier tiempo y, como los motivos llegan con la contestación, el concepto se formula en la ampliación. Revisa también la vía: desde la reforma de 9 de junio de 2026, las respuestas a solicitudes de devolución pueden tramitarse en la sumaria cuando su importe no rebasa el tope del artículo 58-2.</w:t>
      </w:r>
    </w:p>
    <w:p>
      <w:pPr>
        <w:spacing w:line="360" w:lineRule="auto"/>
        <w:jc w:val="both"/>
      </w:pPr>
      <w:r>
        <w:rPr>
          <w:rFonts w:ascii="Arial" w:hAnsi="Arial"/>
          <w:b w:val="0"/>
          <w:i w:val="0"/>
          <w:sz w:val="24"/>
        </w:rPr>
        <w:t>Después arma el expediente probatorio: contrato en original o copia certificada, estados de cuenta de la cuenta receptora, comprobante de la transferencia, tabla de amortización, balanza de comprobación, pólizas y conciliación bancaria, ofrecidos desde el recurso cuando sea posible. Ajusta las citas del Código Fiscal y de su Reglamento al texto vigente en tu periodo, porque la Sala aplicó el de 2022, y recuerda que la supletoriedad de la ley procesal remite hoy al Código Nacional de Procedimientos Civiles y Familiares. Elimina los párrafos condicionales que no correspondan, como el del reconocimiento del registro contable o el de la ampliación.</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 SEGUNDO…).</w:t>
      </w:r>
    </w:p>
    <w:p>
      <w:pPr>
        <w:spacing w:line="360" w:lineRule="auto"/>
        <w:jc w:val="both"/>
      </w:pPr>
      <w:r>
        <w:rPr>
          <w:rFonts w:ascii="Arial" w:hAnsi="Arial"/>
          <w:b/>
          <w:i w:val="0"/>
          <w:sz w:val="24"/>
        </w:rPr>
        <w:t>[RESOLUCIÓN IMPUGNADA]</w:t>
      </w:r>
      <w:r>
        <w:rPr>
          <w:rFonts w:ascii="Arial" w:hAnsi="Arial"/>
          <w:b w:val="0"/>
          <w:i w:val="0"/>
          <w:sz w:val="24"/>
        </w:rPr>
        <w:t>: la resolución expresa del recurso o la confirmativa ficta, con la fecha de interposición del recurso.</w:t>
      </w:r>
    </w:p>
    <w:p>
      <w:pPr>
        <w:spacing w:line="360" w:lineRule="auto"/>
        <w:jc w:val="both"/>
      </w:pPr>
      <w:r>
        <w:rPr>
          <w:rFonts w:ascii="Arial" w:hAnsi="Arial"/>
          <w:b/>
          <w:i w:val="0"/>
          <w:sz w:val="24"/>
        </w:rPr>
        <w:t>[AUTORIDAD DEMANDADA]</w:t>
      </w:r>
      <w:r>
        <w:rPr>
          <w:rFonts w:ascii="Arial" w:hAnsi="Arial"/>
          <w:b w:val="0"/>
          <w:i w:val="0"/>
          <w:sz w:val="24"/>
        </w:rPr>
        <w:t>: la unidad administrativa del SAT con su denominación completa.</w:t>
      </w:r>
    </w:p>
    <w:p>
      <w:pPr>
        <w:spacing w:line="360" w:lineRule="auto"/>
        <w:jc w:val="both"/>
      </w:pPr>
      <w:r>
        <w:rPr>
          <w:rFonts w:ascii="Arial" w:hAnsi="Arial"/>
          <w:b/>
          <w:i w:val="0"/>
          <w:sz w:val="24"/>
        </w:rPr>
        <w:t>[NÚMERO Y FECHA DEL OFICIO RECURRIDO]</w:t>
      </w:r>
      <w:r>
        <w:rPr>
          <w:rFonts w:ascii="Arial" w:hAnsi="Arial"/>
          <w:b w:val="0"/>
          <w:i w:val="0"/>
          <w:sz w:val="24"/>
        </w:rPr>
        <w:t>: el oficio que autorizó la devolución sólo en parte.</w:t>
      </w:r>
    </w:p>
    <w:p>
      <w:pPr>
        <w:spacing w:line="360" w:lineRule="auto"/>
        <w:jc w:val="both"/>
      </w:pPr>
      <w:r>
        <w:rPr>
          <w:rFonts w:ascii="Arial" w:hAnsi="Arial"/>
          <w:b/>
          <w:i w:val="0"/>
          <w:sz w:val="24"/>
        </w:rPr>
        <w:t>[MONTO SOLICITADO EN DEVOLUCIÓN]</w:t>
      </w:r>
      <w:r>
        <w:rPr>
          <w:rFonts w:ascii="Arial" w:hAnsi="Arial"/>
          <w:b w:val="0"/>
          <w:i w:val="0"/>
          <w:sz w:val="24"/>
        </w:rPr>
        <w:t>: la cantidad pedida, con número y letra.</w:t>
      </w:r>
    </w:p>
    <w:p>
      <w:pPr>
        <w:spacing w:line="360" w:lineRule="auto"/>
        <w:jc w:val="both"/>
      </w:pPr>
      <w:r>
        <w:rPr>
          <w:rFonts w:ascii="Arial" w:hAnsi="Arial"/>
          <w:b/>
          <w:i w:val="0"/>
          <w:sz w:val="24"/>
        </w:rPr>
        <w:t>[PERIODO DEL SALDO A FAVOR]</w:t>
      </w:r>
      <w:r>
        <w:rPr>
          <w:rFonts w:ascii="Arial" w:hAnsi="Arial"/>
          <w:b w:val="0"/>
          <w:i w:val="0"/>
          <w:sz w:val="24"/>
        </w:rPr>
        <w:t>: el mes y el ejercicio del saldo a favor de IVA.</w:t>
      </w:r>
    </w:p>
    <w:p>
      <w:pPr>
        <w:spacing w:line="360" w:lineRule="auto"/>
        <w:jc w:val="both"/>
      </w:pPr>
      <w:r>
        <w:rPr>
          <w:rFonts w:ascii="Arial" w:hAnsi="Arial"/>
          <w:b/>
          <w:i w:val="0"/>
          <w:sz w:val="24"/>
        </w:rPr>
        <w:t>[MONTO DEL DEPÓSITO OBSERVADO]</w:t>
      </w:r>
      <w:r>
        <w:rPr>
          <w:rFonts w:ascii="Arial" w:hAnsi="Arial"/>
          <w:b w:val="0"/>
          <w:i w:val="0"/>
          <w:sz w:val="24"/>
        </w:rPr>
        <w:t>: el importe que la autoridad trató como valor de actos gravados.</w:t>
      </w:r>
    </w:p>
    <w:p>
      <w:pPr>
        <w:spacing w:line="360" w:lineRule="auto"/>
        <w:jc w:val="both"/>
      </w:pPr>
      <w:r>
        <w:rPr>
          <w:rFonts w:ascii="Arial" w:hAnsi="Arial"/>
          <w:b/>
          <w:i w:val="0"/>
          <w:sz w:val="24"/>
        </w:rPr>
        <w:t>[FECHA DEL DEPÓSITO]</w:t>
      </w:r>
      <w:r>
        <w:rPr>
          <w:rFonts w:ascii="Arial" w:hAnsi="Arial"/>
          <w:b w:val="0"/>
          <w:i w:val="0"/>
          <w:sz w:val="24"/>
        </w:rPr>
        <w:t>: el día en que el depósito ingresó a la cuenta.</w:t>
      </w:r>
    </w:p>
    <w:p>
      <w:pPr>
        <w:spacing w:line="360" w:lineRule="auto"/>
        <w:jc w:val="both"/>
      </w:pPr>
      <w:r>
        <w:rPr>
          <w:rFonts w:ascii="Arial" w:hAnsi="Arial"/>
          <w:b/>
          <w:i w:val="0"/>
          <w:sz w:val="24"/>
        </w:rPr>
        <w:t>[DENOMINACIÓN DE LA SOCIEDAD ACREDITANTE]</w:t>
      </w:r>
      <w:r>
        <w:rPr>
          <w:rFonts w:ascii="Arial" w:hAnsi="Arial"/>
          <w:b w:val="0"/>
          <w:i w:val="0"/>
          <w:sz w:val="24"/>
        </w:rPr>
        <w:t>: la empresa del grupo que otorgó el financiamiento.</w:t>
      </w:r>
    </w:p>
    <w:p>
      <w:pPr>
        <w:spacing w:line="360" w:lineRule="auto"/>
        <w:jc w:val="both"/>
      </w:pPr>
      <w:r>
        <w:rPr>
          <w:rFonts w:ascii="Arial" w:hAnsi="Arial"/>
          <w:b/>
          <w:i w:val="0"/>
          <w:sz w:val="24"/>
        </w:rPr>
        <w:t>[DENOMINACIÓN Y FECHA DEL CONTRATO]</w:t>
      </w:r>
      <w:r>
        <w:rPr>
          <w:rFonts w:ascii="Arial" w:hAnsi="Arial"/>
          <w:b w:val="0"/>
          <w:i w:val="0"/>
          <w:sz w:val="24"/>
        </w:rPr>
        <w:t>: el título exacto del contrato y su fecha.</w:t>
      </w:r>
    </w:p>
    <w:p>
      <w:pPr>
        <w:spacing w:line="360" w:lineRule="auto"/>
        <w:jc w:val="both"/>
      </w:pPr>
      <w:r>
        <w:rPr>
          <w:rFonts w:ascii="Arial" w:hAnsi="Arial"/>
          <w:b/>
          <w:i w:val="0"/>
          <w:sz w:val="24"/>
        </w:rPr>
        <w:t>[CLÁUSULAS QUE PACTAN EL FINANCIAMIENTO Y LOS INTERESES]</w:t>
      </w:r>
      <w:r>
        <w:rPr>
          <w:rFonts w:ascii="Arial" w:hAnsi="Arial"/>
          <w:b w:val="0"/>
          <w:i w:val="0"/>
          <w:sz w:val="24"/>
        </w:rPr>
        <w:t>: los numerales que prevén abonos, límite de crédito, préstamo e intereses.</w:t>
      </w:r>
    </w:p>
    <w:p>
      <w:pPr>
        <w:spacing w:line="360" w:lineRule="auto"/>
        <w:jc w:val="both"/>
      </w:pPr>
      <w:r>
        <w:rPr>
          <w:rFonts w:ascii="Arial" w:hAnsi="Arial"/>
          <w:b/>
          <w:i w:val="0"/>
          <w:sz w:val="24"/>
        </w:rPr>
        <w:t>[PRUEBAS DE LA DISPOSICIÓN Y DEL REGISTRO CONTABLE]</w:t>
      </w:r>
      <w:r>
        <w:rPr>
          <w:rFonts w:ascii="Arial" w:hAnsi="Arial"/>
          <w:b w:val="0"/>
          <w:i w:val="0"/>
          <w:sz w:val="24"/>
        </w:rPr>
        <w:t>: la relación de tabla de amortización, estados de cuenta posteriores, balanza y pólizas, con sus anexos.</w:t>
      </w:r>
    </w:p>
    <w:p>
      <w:pPr>
        <w:spacing w:line="360" w:lineRule="auto"/>
        <w:jc w:val="both"/>
      </w:pPr>
      <w:r>
        <w:rPr>
          <w:rFonts w:ascii="Arial" w:hAnsi="Arial"/>
          <w:b/>
          <w:i w:val="0"/>
          <w:sz w:val="24"/>
        </w:rPr>
        <w:t>[ACTUACIÓN DONDE LA AUTORIDAD EXPONE SUS MOTIVOS]</w:t>
      </w:r>
      <w:r>
        <w:rPr>
          <w:rFonts w:ascii="Arial" w:hAnsi="Arial"/>
          <w:b w:val="0"/>
          <w:i w:val="0"/>
          <w:sz w:val="24"/>
        </w:rPr>
        <w:t>: la resolución recurrida o el oficio de contestación donde la autoridad formula sus objeciones.</w:t>
      </w:r>
    </w:p>
    <w:p>
      <w:pPr>
        <w:spacing w:line="360" w:lineRule="auto"/>
        <w:jc w:val="both"/>
      </w:pPr>
      <w:r>
        <w:rPr>
          <w:rFonts w:ascii="Arial" w:hAnsi="Arial"/>
          <w:b/>
          <w:i w:val="0"/>
          <w:sz w:val="24"/>
        </w:rPr>
        <w:t>[MONTO DE LA DIFERENCIA NEGADA]</w:t>
      </w:r>
      <w:r>
        <w:rPr>
          <w:rFonts w:ascii="Arial" w:hAnsi="Arial"/>
          <w:b w:val="0"/>
          <w:i w:val="0"/>
          <w:sz w:val="24"/>
        </w:rPr>
        <w:t>: la cantidad que la autoridad dejó de devolver, sin actualización ni intereses.</w:t>
      </w:r>
    </w:p>
    <w:p/>
    <w:p>
      <w:pPr>
        <w:spacing w:line="360" w:lineRule="auto"/>
        <w:jc w:val="both"/>
      </w:pPr>
      <w:r>
        <w:rPr>
          <w:rFonts w:ascii="Arial" w:hAnsi="Arial"/>
          <w:b/>
          <w:sz w:val="28"/>
        </w:rPr>
        <w:t>[NÚMERO ORDINAL DEL CONCEPTO] CONCEPTO DE IMPUGNACIÓN. El depósito proveniente de un préstamo intercompañías carece del carácter de valor de actos o actividades gravados, porque la presunción del artículo 59, fracción III, del Código Fiscal de la Federación quedó desvirtuada con pruebas adminiculadas; de ahí que la autorización sólo parcial de la devolución del saldo a favor del impuesto al valor agregado actualice la causal de ilegalidad por apreciación equivocada de los hechos que prevé el numeral 51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w:t>
      </w:r>
      <w:r>
        <w:rPr>
          <w:rFonts w:ascii="Arial" w:hAnsi="Arial"/>
          <w:b/>
          <w:i w:val="0"/>
          <w:sz w:val="28"/>
        </w:rPr>
        <w:t>[RESOLUCIÓN IMPUGNADA]</w:t>
      </w:r>
      <w:r>
        <w:rPr>
          <w:rFonts w:ascii="Arial" w:hAnsi="Arial"/>
          <w:b w:val="0"/>
          <w:i w:val="0"/>
          <w:sz w:val="28"/>
        </w:rPr>
        <w:t xml:space="preserve">, atribuida a </w:t>
      </w:r>
      <w:r>
        <w:rPr>
          <w:rFonts w:ascii="Arial" w:hAnsi="Arial"/>
          <w:b/>
          <w:i w:val="0"/>
          <w:sz w:val="28"/>
        </w:rPr>
        <w:t>[AUTORIDAD DEMANDADA]</w:t>
      </w:r>
      <w:r>
        <w:rPr>
          <w:rFonts w:ascii="Arial" w:hAnsi="Arial"/>
          <w:b w:val="0"/>
          <w:i w:val="0"/>
          <w:sz w:val="28"/>
        </w:rPr>
        <w:t xml:space="preserve">, es ilegal en cuanto mantiene el oficio </w:t>
      </w:r>
      <w:r>
        <w:rPr>
          <w:rFonts w:ascii="Arial" w:hAnsi="Arial"/>
          <w:b/>
          <w:i w:val="0"/>
          <w:sz w:val="28"/>
        </w:rPr>
        <w:t>[NÚMERO Y FECHA DEL OFICIO RECURRIDO]</w:t>
      </w:r>
      <w:r>
        <w:rPr>
          <w:rFonts w:ascii="Arial" w:hAnsi="Arial"/>
          <w:b w:val="0"/>
          <w:i w:val="0"/>
          <w:sz w:val="28"/>
        </w:rPr>
        <w:t xml:space="preserve">, que autorizó sólo en parte la devolución de </w:t>
      </w:r>
      <w:r>
        <w:rPr>
          <w:rFonts w:ascii="Arial" w:hAnsi="Arial"/>
          <w:b/>
          <w:i w:val="0"/>
          <w:sz w:val="28"/>
        </w:rPr>
        <w:t>[MONTO SOLICITADO EN DEVOLUCIÓN]</w:t>
      </w:r>
      <w:r>
        <w:rPr>
          <w:rFonts w:ascii="Arial" w:hAnsi="Arial"/>
          <w:b w:val="0"/>
          <w:i w:val="0"/>
          <w:sz w:val="28"/>
        </w:rPr>
        <w:t xml:space="preserve"> pedida por concepto de saldo a favor del impuesto al valor agregado correspondiente a </w:t>
      </w:r>
      <w:r>
        <w:rPr>
          <w:rFonts w:ascii="Arial" w:hAnsi="Arial"/>
          <w:b/>
          <w:i w:val="0"/>
          <w:sz w:val="28"/>
        </w:rPr>
        <w:t>[PERIODO DEL SALDO A FAVOR]</w:t>
      </w:r>
      <w:r>
        <w:rPr>
          <w:rFonts w:ascii="Arial" w:hAnsi="Arial"/>
          <w:b w:val="0"/>
          <w:i w:val="0"/>
          <w:sz w:val="28"/>
        </w:rPr>
        <w:t>.</w:t>
      </w:r>
    </w:p>
    <w:p>
      <w:pPr>
        <w:spacing w:line="360" w:lineRule="auto"/>
        <w:jc w:val="both"/>
      </w:pPr>
      <w:r>
        <w:rPr>
          <w:rFonts w:ascii="Arial" w:hAnsi="Arial"/>
          <w:b w:val="0"/>
          <w:i w:val="0"/>
          <w:sz w:val="28"/>
        </w:rPr>
        <w:t xml:space="preserve">La negativa parcial descansa en una única premisa, consistente en tratar como valor de actos o actividades gravados a la tasa del 16 % el depósito de </w:t>
      </w:r>
      <w:r>
        <w:rPr>
          <w:rFonts w:ascii="Arial" w:hAnsi="Arial"/>
          <w:b/>
          <w:i w:val="0"/>
          <w:sz w:val="28"/>
        </w:rPr>
        <w:t>[MONTO DEL DEPÓSITO OBSERVADO]</w:t>
      </w:r>
      <w:r>
        <w:rPr>
          <w:rFonts w:ascii="Arial" w:hAnsi="Arial"/>
          <w:b w:val="0"/>
          <w:i w:val="0"/>
          <w:sz w:val="28"/>
        </w:rPr>
        <w:t xml:space="preserve"> recibido el </w:t>
      </w:r>
      <w:r>
        <w:rPr>
          <w:rFonts w:ascii="Arial" w:hAnsi="Arial"/>
          <w:b/>
          <w:i w:val="0"/>
          <w:sz w:val="28"/>
        </w:rPr>
        <w:t>[FECHA DEL DEPÓSITO]</w:t>
      </w:r>
      <w:r>
        <w:rPr>
          <w:rFonts w:ascii="Arial" w:hAnsi="Arial"/>
          <w:b w:val="0"/>
          <w:i w:val="0"/>
          <w:sz w:val="28"/>
        </w:rPr>
        <w:t xml:space="preserve"> en la cuenta bancaria de la parte actora, con el argumento de que no se comprobó su origen ni su procedencia.</w:t>
      </w:r>
    </w:p>
    <w:p>
      <w:pPr>
        <w:spacing w:line="360" w:lineRule="auto"/>
        <w:jc w:val="both"/>
      </w:pPr>
      <w:r>
        <w:rPr>
          <w:rFonts w:ascii="Arial" w:hAnsi="Arial"/>
          <w:b w:val="0"/>
          <w:i w:val="0"/>
          <w:sz w:val="28"/>
        </w:rPr>
        <w:t xml:space="preserve">Esa premisa es falsa, pues la suma corresponde a un préstamo otorgado por </w:t>
      </w:r>
      <w:r>
        <w:rPr>
          <w:rFonts w:ascii="Arial" w:hAnsi="Arial"/>
          <w:b/>
          <w:i w:val="0"/>
          <w:sz w:val="28"/>
        </w:rPr>
        <w:t>[DENOMINACIÓN DE LA SOCIEDAD ACREDITANTE]</w:t>
      </w:r>
      <w:r>
        <w:rPr>
          <w:rFonts w:ascii="Arial" w:hAnsi="Arial"/>
          <w:b w:val="0"/>
          <w:i w:val="0"/>
          <w:sz w:val="28"/>
        </w:rPr>
        <w:t xml:space="preserve">, sociedad integrante del mismo grupo, al amparo de </w:t>
      </w:r>
      <w:r>
        <w:rPr>
          <w:rFonts w:ascii="Arial" w:hAnsi="Arial"/>
          <w:b/>
          <w:i w:val="0"/>
          <w:sz w:val="28"/>
        </w:rPr>
        <w:t>[DENOMINACIÓN Y FECHA DEL CONTRATO]</w:t>
      </w:r>
      <w:r>
        <w:rPr>
          <w:rFonts w:ascii="Arial" w:hAnsi="Arial"/>
          <w:b w:val="0"/>
          <w:i w:val="0"/>
          <w:sz w:val="28"/>
        </w:rPr>
        <w:t>, y así lo acreditan el contrato, los estados de cuenta, el comprobante de la transferencia, la tabla de amortización y los registros contables, valorados en conjunto.</w:t>
      </w:r>
    </w:p>
    <w:p>
      <w:pPr>
        <w:spacing w:line="360" w:lineRule="auto"/>
        <w:jc w:val="both"/>
      </w:pPr>
      <w:r>
        <w:rPr>
          <w:rFonts w:ascii="Arial" w:hAnsi="Arial"/>
          <w:b w:val="0"/>
          <w:i w:val="0"/>
          <w:sz w:val="28"/>
        </w:rPr>
        <w:t xml:space="preserve">De prosperar este planteamiento, procede declarar la nulidad de la resolución impugnada y de la recurrida, con apoyo en los artículos 51, fracción IV, y 52, fracción V, inciso a), de la Ley Federal de Procedimiento Contencioso Administrativo, y reconocer el derecho subjetivo de la parte actora a la devolución de </w:t>
      </w:r>
      <w:r>
        <w:rPr>
          <w:rFonts w:ascii="Arial" w:hAnsi="Arial"/>
          <w:b/>
          <w:i w:val="0"/>
          <w:sz w:val="28"/>
        </w:rPr>
        <w:t>[MONTO DE LA DIFERENCIA NEGADA]</w:t>
      </w:r>
      <w:r>
        <w:rPr>
          <w:rFonts w:ascii="Arial" w:hAnsi="Arial"/>
          <w:b w:val="0"/>
          <w:i w:val="0"/>
          <w:sz w:val="28"/>
        </w:rPr>
        <w:t>, actualizada y con los intereses que procedan o, en forma subsidiaria, anular para los efectos que prevé la fracción IV del último de esos preceptos.</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controvertido es </w:t>
      </w:r>
      <w:r>
        <w:rPr>
          <w:rFonts w:ascii="Arial" w:hAnsi="Arial"/>
          <w:b/>
          <w:i w:val="0"/>
          <w:sz w:val="28"/>
        </w:rPr>
        <w:t>[RESOLUCIÓN IMPUGNADA]</w:t>
      </w:r>
      <w:r>
        <w:rPr>
          <w:rFonts w:ascii="Arial" w:hAnsi="Arial"/>
          <w:b w:val="0"/>
          <w:i w:val="0"/>
          <w:sz w:val="28"/>
        </w:rPr>
        <w:t xml:space="preserve">, que dejó subsistente el oficio </w:t>
      </w:r>
      <w:r>
        <w:rPr>
          <w:rFonts w:ascii="Arial" w:hAnsi="Arial"/>
          <w:b/>
          <w:i w:val="0"/>
          <w:sz w:val="28"/>
        </w:rPr>
        <w:t>[NÚMERO Y FECHA DEL OFICIO RECURRIDO]</w:t>
      </w:r>
      <w:r>
        <w:rPr>
          <w:rFonts w:ascii="Arial" w:hAnsi="Arial"/>
          <w:b w:val="0"/>
          <w:i w:val="0"/>
          <w:sz w:val="28"/>
        </w:rPr>
        <w:t>, mediante el cual la autoridad fiscalizadora modificó los valores gravados del periodo con base en la presunción de ingresos por depósitos bancarios y, en consecuencia, redujo la cantidad a devolver.</w:t>
      </w:r>
    </w:p>
    <w:p>
      <w:pPr>
        <w:spacing w:line="360" w:lineRule="auto"/>
        <w:jc w:val="both"/>
      </w:pPr>
      <w:r>
        <w:rPr>
          <w:rFonts w:ascii="Arial" w:hAnsi="Arial"/>
          <w:b w:val="0"/>
          <w:i w:val="0"/>
          <w:sz w:val="28"/>
        </w:rPr>
        <w:t xml:space="preserve">Si la autoridad no resolvió la revocación dentro del plazo que fija el artículo 131 del Código Fiscal de la Federación, su silencio significa la confirmación de la determinación combatida, y ese precepto, en el texto que la Sala transcribió en el caso análogo que más adelante se menciona, permite a quien interpuso el medio de defensa </w:t>
      </w:r>
      <w:r>
        <w:rPr>
          <w:rFonts w:ascii="Arial" w:hAnsi="Arial"/>
          <w:b w:val="0"/>
          <w:i/>
          <w:sz w:val="28"/>
        </w:rPr>
        <w:t>“impugnar en cualquier tiempo la presunta confirmación del acto impugnado”</w:t>
      </w:r>
      <w:r>
        <w:rPr>
          <w:rFonts w:ascii="Arial" w:hAnsi="Arial"/>
          <w:b w:val="0"/>
          <w:i w:val="0"/>
          <w:sz w:val="28"/>
        </w:rPr>
        <w:t>.</w:t>
      </w:r>
    </w:p>
    <w:p>
      <w:pPr>
        <w:spacing w:line="360" w:lineRule="auto"/>
        <w:jc w:val="both"/>
      </w:pPr>
      <w:r>
        <w:rPr>
          <w:rFonts w:ascii="Arial" w:hAnsi="Arial"/>
          <w:b w:val="0"/>
          <w:i w:val="0"/>
          <w:sz w:val="28"/>
        </w:rPr>
        <w:t>En esa hipótesis los motivos de la confirmación se conocen hasta la contestación de la demanda, por lo que este concepto puede formularse en la ampliación, en los supuestos que señala el artículo 17 de la Ley Federal de Procedimiento Contencioso Administrativo y dentro del plazo que corresponda a la vía.</w:t>
      </w:r>
    </w:p>
    <w:p>
      <w:pPr>
        <w:spacing w:line="360" w:lineRule="auto"/>
        <w:jc w:val="both"/>
      </w:pPr>
      <w:r>
        <w:rPr>
          <w:rFonts w:ascii="Arial" w:hAnsi="Arial"/>
          <w:b w:val="0"/>
          <w:i w:val="0"/>
          <w:sz w:val="28"/>
        </w:rPr>
        <w:t xml:space="preserve">Por otra parte, conforme al artículo 1o., segundo párrafo, de la ley procesal, al controvertir la resolución del recurso se entiende impugnada simultáneamente la recurrida </w:t>
      </w:r>
      <w:r>
        <w:rPr>
          <w:rFonts w:ascii="Arial" w:hAnsi="Arial"/>
          <w:b w:val="0"/>
          <w:i/>
          <w:sz w:val="28"/>
        </w:rPr>
        <w:t>“en la parte que continúa afectándola”</w:t>
      </w:r>
      <w:r>
        <w:rPr>
          <w:rFonts w:ascii="Arial" w:hAnsi="Arial"/>
          <w:b w:val="0"/>
          <w:i w:val="0"/>
          <w:sz w:val="28"/>
        </w:rPr>
        <w:t>, con la posibilidad de hacer valer conceptos no planteados en sede administrativa, y el numeral 50 del mismo ordenamiento obliga a la Sala a pronunciarse sobre esta última cuando cuente con elementos suficientes.</w:t>
      </w:r>
    </w:p>
    <w:p>
      <w:pPr>
        <w:spacing w:line="360" w:lineRule="auto"/>
        <w:jc w:val="both"/>
      </w:pPr>
      <w:r>
        <w:rPr>
          <w:rFonts w:ascii="Arial" w:hAnsi="Arial"/>
          <w:b w:val="0"/>
          <w:i w:val="0"/>
          <w:sz w:val="28"/>
        </w:rPr>
        <w:t>Las normas cuya inobservancia se plantea son el artículo 59, primer párrafo, fracción III, del Código Fiscal de la Federación, que establece la presunción de ingresos por depósitos bancarios, y el 28, fracción I, apartado A, del propio ordenamiento, en relación con el 33 de su Reglamento, que definen qué documentos integran la contabilidad y cómo deben identificarse en ella los movimientos de cada cuenta.</w:t>
      </w:r>
    </w:p>
    <w:p>
      <w:pPr>
        <w:spacing w:line="360" w:lineRule="auto"/>
        <w:jc w:val="both"/>
      </w:pPr>
      <w:r>
        <w:rPr>
          <w:rFonts w:ascii="Arial" w:hAnsi="Arial"/>
          <w:b w:val="0"/>
          <w:i w:val="0"/>
          <w:sz w:val="28"/>
        </w:rPr>
        <w:t xml:space="preserve">El perjuicio es directo, pues la autoridad retiene </w:t>
      </w:r>
      <w:r>
        <w:rPr>
          <w:rFonts w:ascii="Arial" w:hAnsi="Arial"/>
          <w:b/>
          <w:i w:val="0"/>
          <w:sz w:val="28"/>
        </w:rPr>
        <w:t>[MONTO DE LA DIFERENCIA NEGADA]</w:t>
      </w:r>
      <w:r>
        <w:rPr>
          <w:rFonts w:ascii="Arial" w:hAnsi="Arial"/>
          <w:b w:val="0"/>
          <w:i w:val="0"/>
          <w:sz w:val="28"/>
        </w:rPr>
        <w:t xml:space="preserve"> que corresponden a la parte actora y, para hacerlo, grava como si fuera contraprestación por actos o actividades una suma que la empresa debe restituir a la sociedad que se la prestó, con lo cual altera la base del impuesto y el saldo a favor que de ella resulta.</w:t>
      </w:r>
    </w:p>
    <w:p>
      <w:pPr>
        <w:spacing w:line="360" w:lineRule="auto"/>
        <w:jc w:val="both"/>
      </w:pPr>
      <w:r>
        <w:rPr>
          <w:rFonts w:ascii="Arial" w:hAnsi="Arial"/>
          <w:b w:val="0"/>
          <w:i w:val="0"/>
          <w:sz w:val="28"/>
        </w:rPr>
        <w:t>Como referencia ilustrativa, el veintiséis de mayo de dos mil veintiséis la Décimo Cuarta Sala Regional en la Ciudad de México de este Tribunal resolvió un caso análogo, en el que declaró la nulidad, para efectos, de una confirmativa ficta a fin de que la autoridad tratara como préstamo un depósito de esa naturaleza y devolviera la diferencia del saldo a favor, con reconocimiento del derecho subjetivo de la actora.</w:t>
      </w:r>
    </w:p>
    <w:p>
      <w:pPr>
        <w:spacing w:line="360" w:lineRule="auto"/>
        <w:jc w:val="both"/>
      </w:pPr>
      <w:r>
        <w:rPr>
          <w:rFonts w:ascii="Arial" w:hAnsi="Arial"/>
          <w:b w:val="0"/>
          <w:i w:val="0"/>
          <w:sz w:val="28"/>
        </w:rPr>
        <w:t xml:space="preserve">Esa sentencia de Sala Regional no constituye precedente obligatorio y se invoca sólo como criterio orientador; además, se dictó antes de la reforma a la ley procesal publicada el 9 de junio de 2026 y aplicó los preceptos del Código tributario vigentes en 2022, por lo que su invocación se limita a la coincidencia de razonamiento, sin perjuicio de atender al texto de cada disposición aplicable a </w:t>
      </w:r>
      <w:r>
        <w:rPr>
          <w:rFonts w:ascii="Arial" w:hAnsi="Arial"/>
          <w:b/>
          <w:i w:val="0"/>
          <w:sz w:val="28"/>
        </w:rPr>
        <w:t>[PERIODO DEL SALDO A FAVOR]</w:t>
      </w:r>
      <w:r>
        <w:rPr>
          <w:rFonts w:ascii="Arial" w:hAnsi="Arial"/>
          <w:b w:val="0"/>
          <w:i w:val="0"/>
          <w:sz w:val="28"/>
        </w:rPr>
        <w:t>.</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 xml:space="preserve">El artículo 59 del Código Fiscal de la Federación dispone que, para comprobar los ingresos y el valor de los actos o actividades por los que deban pagarse contribuciones, </w:t>
      </w:r>
      <w:r>
        <w:rPr>
          <w:rFonts w:ascii="Arial" w:hAnsi="Arial"/>
          <w:b w:val="0"/>
          <w:i/>
          <w:sz w:val="28"/>
        </w:rPr>
        <w:t>“las autoridades fiscales presumirán, salvo prueba en contrario”</w:t>
      </w:r>
      <w:r>
        <w:rPr>
          <w:rFonts w:ascii="Arial" w:hAnsi="Arial"/>
          <w:b w:val="0"/>
          <w:i w:val="0"/>
          <w:sz w:val="28"/>
        </w:rPr>
        <w:t>, y su fracción III precisa el contenido de esa inferencia en los términos que enseguida se transcriben.</w:t>
      </w:r>
    </w:p>
    <w:p>
      <w:pPr>
        <w:spacing w:line="360" w:lineRule="auto"/>
        <w:jc w:val="both"/>
      </w:pPr>
      <w:r>
        <w:rPr>
          <w:rFonts w:ascii="Arial" w:hAnsi="Arial"/>
          <w:b w:val="0"/>
          <w:i/>
          <w:sz w:val="28"/>
        </w:rPr>
        <w:t>“III. Que los depósitos en la cuenta bancaria del contribuyente que no correspondan a registros de su contabilidad que esté obligado a llevar, son ingresos y valor de actos o actividades por los que se deben pagar contribuciones.”</w:t>
      </w:r>
    </w:p>
    <w:p>
      <w:pPr>
        <w:spacing w:line="360" w:lineRule="auto"/>
        <w:jc w:val="both"/>
      </w:pPr>
      <w:r>
        <w:rPr>
          <w:rFonts w:ascii="Arial" w:hAnsi="Arial"/>
          <w:b w:val="0"/>
          <w:i w:val="0"/>
          <w:sz w:val="28"/>
        </w:rPr>
        <w:t>La norma tiene la estructura de toda presunción relativa, integrada por un hecho base, que es la existencia de depósitos ajenos a los registros contables, y por un hecho presumido, según el cual esas cantidades son ingresos y valor de actos gravados, enlazados por una regla que admite de manera expresa la prueba en contrario.</w:t>
      </w:r>
    </w:p>
    <w:p>
      <w:pPr>
        <w:spacing w:line="360" w:lineRule="auto"/>
        <w:jc w:val="both"/>
      </w:pPr>
      <w:r>
        <w:rPr>
          <w:rFonts w:ascii="Arial" w:hAnsi="Arial"/>
          <w:b w:val="0"/>
          <w:i w:val="0"/>
          <w:sz w:val="28"/>
        </w:rPr>
        <w:t>En efecto, la teoría de la prueba explica que una presunción iuris tantum, construida sobre la fórmula condicional que, probado un hecho base, ordena tener por cierto el presumido, queda derrotada cuando se acredita que, aunque el primero ocurrió, el segundo no se produjo, de manera que la carga de quien la combate consiste en demostrar esa falta.</w:t>
      </w:r>
      <w:r>
        <w:rPr>
          <w:rFonts w:ascii="Arial" w:hAnsi="Arial"/>
          <w:vertAlign w:val="superscript"/>
        </w:rPr>
        <w:t>1</w:t>
      </w:r>
    </w:p>
    <w:p>
      <w:pPr>
        <w:spacing w:line="360" w:lineRule="auto"/>
        <w:jc w:val="both"/>
      </w:pPr>
      <w:r>
        <w:rPr>
          <w:rFonts w:ascii="Arial" w:hAnsi="Arial"/>
          <w:b w:val="0"/>
          <w:i w:val="0"/>
          <w:sz w:val="28"/>
        </w:rPr>
        <w:t>La doctrina distingue, además, dos vías para desvirtuar esa clase de presunciones, a saber, la destrucción, que acredita un hecho opuesto al presumido, y la eliminación, que demuestra la ausencia de los presupuestos o hechos base sin los cuales la inferencia legal no llega a operar.</w:t>
      </w:r>
      <w:r>
        <w:rPr>
          <w:rFonts w:ascii="Arial" w:hAnsi="Arial"/>
          <w:vertAlign w:val="superscript"/>
        </w:rPr>
        <w:t>2</w:t>
      </w:r>
    </w:p>
    <w:p>
      <w:pPr>
        <w:spacing w:line="360" w:lineRule="auto"/>
        <w:jc w:val="both"/>
      </w:pPr>
      <w:r>
        <w:rPr>
          <w:rFonts w:ascii="Arial" w:hAnsi="Arial"/>
          <w:b w:val="0"/>
          <w:i w:val="0"/>
          <w:sz w:val="28"/>
        </w:rPr>
        <w:t>Trasladadas a la fracción III del artículo 59, ambas vías están al alcance de la persona contribuyente, pues puede eliminar la presunción acreditando que el depósito sí corresponde a registros de su contabilidad debidamente soportados, o destruirla probando que la suma recibida obedece a una causa jurídica distinta del ingreso, como el préstamo que debe restituirse.</w:t>
      </w:r>
    </w:p>
    <w:p>
      <w:pPr>
        <w:spacing w:line="360" w:lineRule="auto"/>
        <w:jc w:val="both"/>
      </w:pPr>
      <w:r>
        <w:rPr>
          <w:rFonts w:ascii="Arial" w:hAnsi="Arial"/>
          <w:b w:val="0"/>
          <w:i w:val="0"/>
          <w:sz w:val="28"/>
        </w:rPr>
        <w:t xml:space="preserve">Para la vía de eliminación importa lo que la ley entiende por contabilidad, porque el artículo 28, fracción I, apartado A, del Código Fiscal de la Federación la integra, entre otros elementos, con los registros contables, los estados de cuenta y la </w:t>
      </w:r>
      <w:r>
        <w:rPr>
          <w:rFonts w:ascii="Arial" w:hAnsi="Arial"/>
          <w:b w:val="0"/>
          <w:i/>
          <w:sz w:val="28"/>
        </w:rPr>
        <w:t>“documentación comprobatoria de los asientos respectivos”</w:t>
      </w:r>
      <w:r>
        <w:rPr>
          <w:rFonts w:ascii="Arial" w:hAnsi="Arial"/>
          <w:b w:val="0"/>
          <w:i w:val="0"/>
          <w:sz w:val="28"/>
        </w:rPr>
        <w:t>.</w:t>
      </w:r>
    </w:p>
    <w:p>
      <w:pPr>
        <w:spacing w:line="360" w:lineRule="auto"/>
        <w:jc w:val="both"/>
      </w:pPr>
      <w:r>
        <w:rPr>
          <w:rFonts w:ascii="Arial" w:hAnsi="Arial"/>
          <w:b w:val="0"/>
          <w:i w:val="0"/>
          <w:sz w:val="28"/>
        </w:rPr>
        <w:t xml:space="preserve">Por su parte, el Reglamento de ese Código, en su artículo 33, apartado A, comprende entre los documentos contables las pólizas de los registros y </w:t>
      </w:r>
      <w:r>
        <w:rPr>
          <w:rFonts w:ascii="Arial" w:hAnsi="Arial"/>
          <w:b w:val="0"/>
          <w:i/>
          <w:sz w:val="28"/>
        </w:rPr>
        <w:t>“los estados de cuenta bancarios y las conciliaciones de los depósitos y retiros respecto de los registros contables”</w:t>
      </w:r>
      <w:r>
        <w:rPr>
          <w:rFonts w:ascii="Arial" w:hAnsi="Arial"/>
          <w:b w:val="0"/>
          <w:i w:val="0"/>
          <w:sz w:val="28"/>
        </w:rPr>
        <w:t xml:space="preserve">, y en el B exige que los asientos permitan </w:t>
      </w:r>
      <w:r>
        <w:rPr>
          <w:rFonts w:ascii="Arial" w:hAnsi="Arial"/>
          <w:b w:val="0"/>
          <w:i/>
          <w:sz w:val="28"/>
        </w:rPr>
        <w:t>“la identificación de los depósitos y retiros en las cuentas bancarias abiertas a nombre del contribuyente”</w:t>
      </w:r>
      <w:r>
        <w:rPr>
          <w:rFonts w:ascii="Arial" w:hAnsi="Arial"/>
          <w:b w:val="0"/>
          <w:i w:val="0"/>
          <w:sz w:val="28"/>
        </w:rPr>
        <w:t>.</w:t>
      </w:r>
    </w:p>
    <w:p>
      <w:pPr>
        <w:spacing w:line="360" w:lineRule="auto"/>
        <w:jc w:val="both"/>
      </w:pPr>
      <w:r>
        <w:rPr>
          <w:rFonts w:ascii="Arial" w:hAnsi="Arial"/>
          <w:b w:val="0"/>
          <w:i w:val="0"/>
          <w:sz w:val="28"/>
        </w:rPr>
        <w:t xml:space="preserve">De ahí que un movimiento asentado, conciliado con el estado de cuenta y respaldado con la documentación de la operación que le dio origen deje de pertenecer a los depósitos que </w:t>
      </w:r>
      <w:r>
        <w:rPr>
          <w:rFonts w:ascii="Arial" w:hAnsi="Arial"/>
          <w:b w:val="0"/>
          <w:i/>
          <w:sz w:val="28"/>
        </w:rPr>
        <w:t>“no correspondan a registros de su contabilidad”</w:t>
      </w:r>
      <w:r>
        <w:rPr>
          <w:rFonts w:ascii="Arial" w:hAnsi="Arial"/>
          <w:b w:val="0"/>
          <w:i w:val="0"/>
          <w:sz w:val="28"/>
        </w:rPr>
        <w:t>, con lo cual falta el hecho base y la presunción no se actualiza.</w:t>
      </w:r>
    </w:p>
    <w:p>
      <w:pPr>
        <w:spacing w:line="360" w:lineRule="auto"/>
        <w:jc w:val="both"/>
      </w:pPr>
      <w:r>
        <w:rPr>
          <w:rFonts w:ascii="Arial" w:hAnsi="Arial"/>
          <w:b w:val="0"/>
          <w:i w:val="0"/>
          <w:sz w:val="28"/>
        </w:rPr>
        <w:t>La segunda vía, la destrucción, exige acreditar la causa jurídica del depósito, demostración que rara vez descansa en un solo documento, porque la teoría racional de la prueba enseña que el apoyo de cada elemento de juicio a la hipótesis debe valorarse de forma individual y también en conjunto, y que el resultado depende de la totalidad de los datos disponibles.</w:t>
      </w:r>
      <w:r>
        <w:rPr>
          <w:rFonts w:ascii="Arial" w:hAnsi="Arial"/>
          <w:vertAlign w:val="superscript"/>
        </w:rPr>
        <w:t>3</w:t>
      </w:r>
    </w:p>
    <w:p>
      <w:pPr>
        <w:spacing w:line="360" w:lineRule="auto"/>
        <w:jc w:val="both"/>
      </w:pPr>
      <w:r>
        <w:rPr>
          <w:rFonts w:ascii="Arial" w:hAnsi="Arial"/>
          <w:b w:val="0"/>
          <w:i w:val="0"/>
          <w:sz w:val="28"/>
        </w:rPr>
        <w:t xml:space="preserve">La Ley Federal de Procedimiento Contencioso Administrativo recoge esa pauta, ya que su artículo 46, fracción III, deja el valor de la pericial, la testimonial y los demás medios probatorios a la prudente apreciación de la Sala, y su último párrafo la autoriza a valorarlos sin sujetarse a esas reglas cuando adquiera convicción distinta </w:t>
      </w:r>
      <w:r>
        <w:rPr>
          <w:rFonts w:ascii="Arial" w:hAnsi="Arial"/>
          <w:b w:val="0"/>
          <w:i/>
          <w:sz w:val="28"/>
        </w:rPr>
        <w:t>“por el enlace de las pruebas rendidas y de las presunciones formadas”</w:t>
      </w:r>
      <w:r>
        <w:rPr>
          <w:rFonts w:ascii="Arial" w:hAnsi="Arial"/>
          <w:b w:val="0"/>
          <w:i w:val="0"/>
          <w:sz w:val="28"/>
        </w:rPr>
        <w:t>.</w:t>
      </w:r>
    </w:p>
    <w:p>
      <w:pPr>
        <w:spacing w:line="360" w:lineRule="auto"/>
        <w:jc w:val="both"/>
      </w:pPr>
      <w:r>
        <w:rPr>
          <w:rFonts w:ascii="Arial" w:hAnsi="Arial"/>
          <w:b w:val="0"/>
          <w:i w:val="0"/>
          <w:sz w:val="28"/>
        </w:rPr>
        <w:t>Correlativamente, el artículo 40 de la ley procesal impone a la persona actora que pretende el reconocimiento de un derecho subjetivo la carga de probar los hechos de los que éste deriva, exigencia que en este caso se satisface con el acervo documental que más adelante se relaciona.</w:t>
      </w:r>
    </w:p>
    <w:p>
      <w:pPr>
        <w:spacing w:line="360" w:lineRule="auto"/>
        <w:jc w:val="both"/>
      </w:pPr>
      <w:r>
        <w:rPr>
          <w:rFonts w:ascii="Arial" w:hAnsi="Arial"/>
          <w:b w:val="0"/>
          <w:i w:val="0"/>
          <w:sz w:val="28"/>
        </w:rPr>
        <w:t>A ello se suma que la apreciación y la calificación jurídica de un hecho ya probado exigen atender a su sustancia, a su significado económico real y al negocio jurídico involucrado, por encima de las meras apariencias formales, como lo explica la doctrina de la argumentación judicial al distinguir esas operaciones de la simple determinación de los hechos.</w:t>
      </w:r>
      <w:r>
        <w:rPr>
          <w:rFonts w:ascii="Arial" w:hAnsi="Arial"/>
          <w:vertAlign w:val="superscript"/>
        </w:rPr>
        <w:t>4</w:t>
      </w:r>
    </w:p>
    <w:p>
      <w:pPr>
        <w:spacing w:line="360" w:lineRule="auto"/>
        <w:jc w:val="both"/>
      </w:pPr>
      <w:r>
        <w:rPr>
          <w:rFonts w:ascii="Arial" w:hAnsi="Arial"/>
          <w:b w:val="0"/>
          <w:i w:val="0"/>
          <w:sz w:val="28"/>
        </w:rPr>
        <w:t xml:space="preserve">Así, la naturaleza de un contrato se define por las obligaciones que las partes asumen, con independencia del título que le asignen, pauta que la Sala aplicó en el caso análogo al sostener que </w:t>
      </w:r>
      <w:r>
        <w:rPr>
          <w:rFonts w:ascii="Arial" w:hAnsi="Arial"/>
          <w:b w:val="0"/>
          <w:i/>
          <w:sz w:val="28"/>
        </w:rPr>
        <w:t>“la naturaleza de tales instrumentos jurídicos deriva de las obligaciones y derechos recíprocos que las partes estipulen”</w:t>
      </w:r>
      <w:r>
        <w:rPr>
          <w:rFonts w:ascii="Arial" w:hAnsi="Arial"/>
          <w:b w:val="0"/>
          <w:i w:val="0"/>
          <w:sz w:val="28"/>
        </w:rPr>
        <w:t>.</w:t>
      </w:r>
    </w:p>
    <w:p>
      <w:pPr>
        <w:spacing w:line="360" w:lineRule="auto"/>
        <w:jc w:val="both"/>
      </w:pPr>
      <w:r>
        <w:rPr>
          <w:rFonts w:ascii="Arial" w:hAnsi="Arial"/>
          <w:b w:val="0"/>
          <w:i w:val="0"/>
          <w:sz w:val="28"/>
        </w:rPr>
        <w:t>Esa precisión cobra especial relevancia en los contratos de tesorería centralizada que celebran las empresas de un mismo grupo, cuya mecánica prescinde de la entrega de una suma determinada en una sola exhibición, pues opera mediante abonos y cargos periódicos en una cuenta concentradora, con un límite de crédito y con intereses sobre el saldo deudor de la sociedad financiada.</w:t>
      </w:r>
    </w:p>
    <w:p>
      <w:pPr>
        <w:spacing w:line="360" w:lineRule="auto"/>
        <w:jc w:val="both"/>
      </w:pPr>
      <w:r>
        <w:rPr>
          <w:rFonts w:ascii="Arial" w:hAnsi="Arial"/>
          <w:b w:val="0"/>
          <w:i w:val="0"/>
          <w:sz w:val="28"/>
        </w:rPr>
        <w:t xml:space="preserve">En acuerdos de esa clase el importe de cada disposición no tiene por qué figurar en el clausulado, ya que se acredita con los estados de cuenta y los comprobantes de las operaciones respectivas, como lo razonó la misma Sala al considerar que el contrato examinado no versó sobre un monto específico, porque su objetivo era </w:t>
      </w:r>
      <w:r>
        <w:rPr>
          <w:rFonts w:ascii="Arial" w:hAnsi="Arial"/>
          <w:b w:val="0"/>
          <w:i/>
          <w:sz w:val="28"/>
        </w:rPr>
        <w:t>“financiar a la empresa actora con diversos abonos”</w:t>
      </w:r>
      <w:r>
        <w:rPr>
          <w:rFonts w:ascii="Arial" w:hAnsi="Arial"/>
          <w:b w:val="0"/>
          <w:i w:val="0"/>
          <w:sz w:val="28"/>
        </w:rPr>
        <w:t>.</w:t>
      </w:r>
    </w:p>
    <w:p>
      <w:pPr>
        <w:spacing w:line="360" w:lineRule="auto"/>
        <w:jc w:val="both"/>
      </w:pPr>
      <w:r>
        <w:rPr>
          <w:rFonts w:ascii="Arial" w:hAnsi="Arial"/>
          <w:b w:val="0"/>
          <w:i w:val="0"/>
          <w:sz w:val="28"/>
        </w:rPr>
        <w:t>Tampoco la exhibición del contrato en copia simple le resta valor, pues, como lo consideró esa Sala Regional, por la naturaleza del mutuo el documento no requiere certificación notarial para su existencia, validez y eficacia, y su fuerza probatoria se robustece cuando se adminicula con los movimientos bancarios que lo ejecutan.</w:t>
      </w:r>
    </w:p>
    <w:p>
      <w:pPr>
        <w:spacing w:line="360" w:lineRule="auto"/>
        <w:jc w:val="both"/>
      </w:pPr>
      <w:r>
        <w:rPr>
          <w:rFonts w:ascii="Arial" w:hAnsi="Arial"/>
          <w:b w:val="0"/>
          <w:i w:val="0"/>
          <w:sz w:val="28"/>
        </w:rPr>
        <w:t xml:space="preserve">Por último, la presunción de ingresos es un instrumento al servicio del deber de contribuir </w:t>
      </w:r>
      <w:r>
        <w:rPr>
          <w:rFonts w:ascii="Arial" w:hAnsi="Arial"/>
          <w:b w:val="0"/>
          <w:i/>
          <w:sz w:val="28"/>
        </w:rPr>
        <w:t>“de la manera proporcional y equitativa que dispongan las leyes”</w:t>
      </w:r>
      <w:r>
        <w:rPr>
          <w:rFonts w:ascii="Arial" w:hAnsi="Arial"/>
          <w:b w:val="0"/>
          <w:i w:val="0"/>
          <w:sz w:val="28"/>
        </w:rPr>
        <w:t>, previsto en el artículo 31, fracción IV, de la Constitución Política de los Estados Unidos Mexicanos, de suerte que su función consiste en revelar riqueza oculta, sin autorizar que se grave como valor de actos una suma que debe devolverse a quien la prestó.</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del caso encuadran en las dos vías descritas, porque la parte actora celebró con </w:t>
      </w:r>
      <w:r>
        <w:rPr>
          <w:rFonts w:ascii="Arial" w:hAnsi="Arial"/>
          <w:b/>
          <w:i w:val="0"/>
          <w:sz w:val="28"/>
        </w:rPr>
        <w:t>[DENOMINACIÓN DE LA SOCIEDAD ACREDITANTE]</w:t>
      </w:r>
      <w:r>
        <w:rPr>
          <w:rFonts w:ascii="Arial" w:hAnsi="Arial"/>
          <w:b w:val="0"/>
          <w:i w:val="0"/>
          <w:sz w:val="28"/>
        </w:rPr>
        <w:t xml:space="preserve"> el </w:t>
      </w:r>
      <w:r>
        <w:rPr>
          <w:rFonts w:ascii="Arial" w:hAnsi="Arial"/>
          <w:b/>
          <w:i w:val="0"/>
          <w:sz w:val="28"/>
        </w:rPr>
        <w:t>[DENOMINACIÓN Y FECHA DEL CONTRATO]</w:t>
      </w:r>
      <w:r>
        <w:rPr>
          <w:rFonts w:ascii="Arial" w:hAnsi="Arial"/>
          <w:b w:val="0"/>
          <w:i w:val="0"/>
          <w:sz w:val="28"/>
        </w:rPr>
        <w:t xml:space="preserve">, en cuyas </w:t>
      </w:r>
      <w:r>
        <w:rPr>
          <w:rFonts w:ascii="Arial" w:hAnsi="Arial"/>
          <w:b/>
          <w:i w:val="0"/>
          <w:sz w:val="28"/>
        </w:rPr>
        <w:t>[CLÁUSULAS QUE PACTAN EL FINANCIAMIENTO Y LOS INTERESES]</w:t>
      </w:r>
      <w:r>
        <w:rPr>
          <w:rFonts w:ascii="Arial" w:hAnsi="Arial"/>
          <w:b w:val="0"/>
          <w:i w:val="0"/>
          <w:sz w:val="28"/>
        </w:rPr>
        <w:t xml:space="preserve"> se convinieron los abonos de la acreditante, el límite de crédito y los intereses sobre el saldo a cargo de la acreditada.</w:t>
      </w:r>
    </w:p>
    <w:p>
      <w:pPr>
        <w:spacing w:line="360" w:lineRule="auto"/>
        <w:jc w:val="both"/>
      </w:pPr>
      <w:r>
        <w:rPr>
          <w:rFonts w:ascii="Arial" w:hAnsi="Arial"/>
          <w:b w:val="0"/>
          <w:i w:val="0"/>
          <w:sz w:val="28"/>
        </w:rPr>
        <w:t xml:space="preserve">El estado bancario de la parte actora muestra que el </w:t>
      </w:r>
      <w:r>
        <w:rPr>
          <w:rFonts w:ascii="Arial" w:hAnsi="Arial"/>
          <w:b/>
          <w:i w:val="0"/>
          <w:sz w:val="28"/>
        </w:rPr>
        <w:t>[FECHA DEL DEPÓSITO]</w:t>
      </w:r>
      <w:r>
        <w:rPr>
          <w:rFonts w:ascii="Arial" w:hAnsi="Arial"/>
          <w:b w:val="0"/>
          <w:i w:val="0"/>
          <w:sz w:val="28"/>
        </w:rPr>
        <w:t xml:space="preserve"> ingresaron </w:t>
      </w:r>
      <w:r>
        <w:rPr>
          <w:rFonts w:ascii="Arial" w:hAnsi="Arial"/>
          <w:b/>
          <w:i w:val="0"/>
          <w:sz w:val="28"/>
        </w:rPr>
        <w:t>[MONTO DEL DEPÓSITO OBSERVADO]</w:t>
      </w:r>
      <w:r>
        <w:rPr>
          <w:rFonts w:ascii="Arial" w:hAnsi="Arial"/>
          <w:b w:val="0"/>
          <w:i w:val="0"/>
          <w:sz w:val="28"/>
        </w:rPr>
        <w:t>, con indicación de la institución y la cuenta de origen y de la denominación de la sociedad ordenante, que coincide con la acreditante del contrato, mientras que el comprobante de transacción emitido por ésta autoriza esa misma transferencia.</w:t>
      </w:r>
    </w:p>
    <w:p>
      <w:pPr>
        <w:spacing w:line="360" w:lineRule="auto"/>
        <w:jc w:val="both"/>
      </w:pPr>
      <w:r>
        <w:rPr>
          <w:rFonts w:ascii="Arial" w:hAnsi="Arial"/>
          <w:b w:val="0"/>
          <w:i w:val="0"/>
          <w:sz w:val="28"/>
        </w:rPr>
        <w:t xml:space="preserve">Completan el acervo </w:t>
      </w:r>
      <w:r>
        <w:rPr>
          <w:rFonts w:ascii="Arial" w:hAnsi="Arial"/>
          <w:b/>
          <w:i w:val="0"/>
          <w:sz w:val="28"/>
        </w:rPr>
        <w:t>[PRUEBAS DE LA DISPOSICIÓN Y DEL REGISTRO CONTABLE]</w:t>
      </w:r>
      <w:r>
        <w:rPr>
          <w:rFonts w:ascii="Arial" w:hAnsi="Arial"/>
          <w:b w:val="0"/>
          <w:i w:val="0"/>
          <w:sz w:val="28"/>
        </w:rPr>
        <w:t>, entre ellas la tabla de amortización con los intereses generados, los estados que muestran los traspasos posteriores entre cuentas de la propia empresa, la balanza de comprobación del mes y la póliza en que se asentó la operación.</w:t>
      </w:r>
    </w:p>
    <w:p>
      <w:pPr>
        <w:spacing w:line="360" w:lineRule="auto"/>
        <w:jc w:val="both"/>
      </w:pPr>
      <w:r>
        <w:rPr>
          <w:rFonts w:ascii="Arial" w:hAnsi="Arial"/>
          <w:b w:val="0"/>
          <w:i w:val="0"/>
          <w:sz w:val="28"/>
        </w:rPr>
        <w:t>Con esas constancias se elimina el hecho base de la presunción, ya que el depósito quedó registrado en los libros, conciliado con el estado de cuenta y soportado con el contrato y el comprobante de la transferencia, elementos con los que, conforme al artículo 28 del Código Fiscal de la Federación y al 33 de su Reglamento, se integra la contabilidad y se identifica cada movimiento bancario.</w:t>
      </w:r>
    </w:p>
    <w:p>
      <w:pPr>
        <w:spacing w:line="360" w:lineRule="auto"/>
        <w:jc w:val="both"/>
      </w:pPr>
      <w:r>
        <w:rPr>
          <w:rFonts w:ascii="Arial" w:hAnsi="Arial"/>
          <w:b w:val="0"/>
          <w:i w:val="0"/>
          <w:sz w:val="28"/>
        </w:rPr>
        <w:t>Con las mismas pruebas, enlazadas entre sí, se destruye además el hecho presumido, porque la causa del depósito es un préstamo que genera intereses y obliga a restituir, de modo que esa cantidad carece del carácter de contraprestación por actos o actividades y no puede integrar el valor gravado del periodo.</w:t>
      </w:r>
    </w:p>
    <w:p>
      <w:pPr>
        <w:spacing w:line="360" w:lineRule="auto"/>
        <w:jc w:val="both"/>
      </w:pPr>
      <w:r>
        <w:rPr>
          <w:rFonts w:ascii="Arial" w:hAnsi="Arial"/>
          <w:b w:val="0"/>
          <w:i w:val="0"/>
          <w:sz w:val="28"/>
        </w:rPr>
        <w:t xml:space="preserve">Si en </w:t>
      </w:r>
      <w:r>
        <w:rPr>
          <w:rFonts w:ascii="Arial" w:hAnsi="Arial"/>
          <w:b/>
          <w:i w:val="0"/>
          <w:sz w:val="28"/>
        </w:rPr>
        <w:t>[ACTUACIÓN DONDE LA AUTORIDAD EXPONE SUS MOTIVOS]</w:t>
      </w:r>
      <w:r>
        <w:rPr>
          <w:rFonts w:ascii="Arial" w:hAnsi="Arial"/>
          <w:b w:val="0"/>
          <w:i w:val="0"/>
          <w:sz w:val="28"/>
        </w:rPr>
        <w:t xml:space="preserve"> la autoridad admite el registro contable del abono y sólo discute su causa, ese reconocimiento confirma la eliminación del hecho base, tal como ocurrió en el caso análogo, en el que la Sala estimó que la demandada </w:t>
      </w:r>
      <w:r>
        <w:rPr>
          <w:rFonts w:ascii="Arial" w:hAnsi="Arial"/>
          <w:b w:val="0"/>
          <w:i/>
          <w:sz w:val="28"/>
        </w:rPr>
        <w:t>“reconoció que la empresa actora registró en su contabilidad el depósito”</w:t>
      </w:r>
      <w:r>
        <w:rPr>
          <w:rFonts w:ascii="Arial" w:hAnsi="Arial"/>
          <w:b w:val="0"/>
          <w:i w:val="0"/>
          <w:sz w:val="28"/>
        </w:rPr>
        <w:t>.</w:t>
      </w:r>
    </w:p>
    <w:p>
      <w:pPr>
        <w:spacing w:line="360" w:lineRule="auto"/>
        <w:jc w:val="both"/>
      </w:pPr>
      <w:r>
        <w:rPr>
          <w:rFonts w:ascii="Arial" w:hAnsi="Arial"/>
          <w:b w:val="0"/>
          <w:i w:val="0"/>
          <w:sz w:val="28"/>
        </w:rPr>
        <w:t xml:space="preserve">Frente a lo anterior, la autoridad sostiene en </w:t>
      </w:r>
      <w:r>
        <w:rPr>
          <w:rFonts w:ascii="Arial" w:hAnsi="Arial"/>
          <w:b/>
          <w:i w:val="0"/>
          <w:sz w:val="28"/>
        </w:rPr>
        <w:t>[ACTUACIÓN DONDE LA AUTORIDAD EXPONE SUS MOTIVOS]</w:t>
      </w:r>
      <w:r>
        <w:rPr>
          <w:rFonts w:ascii="Arial" w:hAnsi="Arial"/>
          <w:b w:val="0"/>
          <w:i w:val="0"/>
          <w:sz w:val="28"/>
        </w:rPr>
        <w:t xml:space="preserve"> que el contrato carece de la naturaleza de mutuo porque así no se denomina, que no menciona la cantidad depositada y que se exhibió en copia simple, objeciones que, examinadas una por una y en su conjunto, descansan en dos errores de razonamiento.</w:t>
      </w:r>
    </w:p>
    <w:p>
      <w:pPr>
        <w:spacing w:line="360" w:lineRule="auto"/>
        <w:jc w:val="both"/>
      </w:pPr>
      <w:r>
        <w:rPr>
          <w:rFonts w:ascii="Arial" w:hAnsi="Arial"/>
          <w:b w:val="0"/>
          <w:i w:val="0"/>
          <w:sz w:val="28"/>
        </w:rPr>
        <w:t>El primero es la falacia del accidente, que consiste en aplicar una norma general a un caso particular cuyas circunstancias especiales la vuelven inaplicable, vicio que la doctrina identifica como frecuente en quienes deducen respuestas concretas a partir de principios absolutos.</w:t>
      </w:r>
      <w:r>
        <w:rPr>
          <w:rFonts w:ascii="Arial" w:hAnsi="Arial"/>
          <w:vertAlign w:val="superscript"/>
        </w:rPr>
        <w:t>5</w:t>
      </w:r>
    </w:p>
    <w:p>
      <w:pPr>
        <w:spacing w:line="360" w:lineRule="auto"/>
        <w:jc w:val="both"/>
      </w:pPr>
      <w:r>
        <w:rPr>
          <w:rFonts w:ascii="Arial" w:hAnsi="Arial"/>
          <w:b w:val="0"/>
          <w:i w:val="0"/>
          <w:sz w:val="28"/>
        </w:rPr>
        <w:t>La autoridad toma el modelo del préstamo ordinario, documentado bajo ese nombre, por una suma fija entregada de una vez y exhibido en original, y lo erige en condición de cualquier financiamiento, sin advertir que el contrato de tesorería entre sociedades del grupo opera con disposiciones periódicas y límite de crédito, circunstancia que vuelve inaplicable el patrón del que parte.</w:t>
      </w:r>
    </w:p>
    <w:p>
      <w:pPr>
        <w:spacing w:line="360" w:lineRule="auto"/>
        <w:jc w:val="both"/>
      </w:pPr>
      <w:r>
        <w:rPr>
          <w:rFonts w:ascii="Arial" w:hAnsi="Arial"/>
          <w:b w:val="0"/>
          <w:i w:val="0"/>
          <w:sz w:val="28"/>
        </w:rPr>
        <w:t>Su conclusión tampoco se sigue de la ley, porque la fracción III del artículo 59 del Código tributario no exige que la prueba en contrario consista en un contrato denominado de mutuo ni que éste precise cada disposición, de manera que la autoridad añade a la presunción requisitos que el legislador no estableció.</w:t>
      </w:r>
    </w:p>
    <w:p>
      <w:pPr>
        <w:spacing w:line="360" w:lineRule="auto"/>
        <w:jc w:val="both"/>
      </w:pPr>
      <w:r>
        <w:rPr>
          <w:rFonts w:ascii="Arial" w:hAnsi="Arial"/>
          <w:b w:val="0"/>
          <w:i w:val="0"/>
          <w:sz w:val="28"/>
        </w:rPr>
        <w:t>El segundo error es la falacia de composición, que atribuye al conjunto lo que sólo es cierto de cada una de sus partes, y que la doctrina ilustra con la advertencia de que lo predicable de los componentes no siempre puede predicarse del todo.</w:t>
      </w:r>
      <w:r>
        <w:rPr>
          <w:rFonts w:ascii="Arial" w:hAnsi="Arial"/>
          <w:vertAlign w:val="superscript"/>
        </w:rPr>
        <w:t>6</w:t>
      </w:r>
    </w:p>
    <w:p>
      <w:pPr>
        <w:spacing w:line="360" w:lineRule="auto"/>
        <w:jc w:val="both"/>
      </w:pPr>
      <w:r>
        <w:rPr>
          <w:rFonts w:ascii="Arial" w:hAnsi="Arial"/>
          <w:b w:val="0"/>
          <w:i w:val="0"/>
          <w:sz w:val="28"/>
        </w:rPr>
        <w:t>La autoridad examina cada documento por separado, concluye que el convenio, por sí solo, no identifica la cantidad y que el estado de cuenta, aisladamente, no revela la causa del abono, y de esas insuficiencias parciales infiere la del acervo completo, cuando la convicción que exige la ley surge del enlace entre el contrato, el movimiento bancario que señala a la acreditante como ordenante y el registro contable.</w:t>
      </w:r>
    </w:p>
    <w:p>
      <w:pPr>
        <w:spacing w:line="360" w:lineRule="auto"/>
        <w:jc w:val="both"/>
      </w:pPr>
      <w:r>
        <w:rPr>
          <w:rFonts w:ascii="Arial" w:hAnsi="Arial"/>
          <w:b w:val="0"/>
          <w:i w:val="0"/>
          <w:sz w:val="28"/>
        </w:rPr>
        <w:t>Corregido ese doble error, el razonamiento válido se ordena así: el contrato acredita la obligación de financiar, el comprobante y el estado de cuenta muestran la disposición concreta y su origen, la tabla de amortización evidencia los intereses y el deber de restituir, y la contabilidad demuestra el registro, de suerte que el depósito queda identificado como préstamo y la presunción, desvirtuada.</w:t>
      </w:r>
    </w:p>
    <w:p>
      <w:pPr>
        <w:spacing w:line="360" w:lineRule="auto"/>
        <w:jc w:val="both"/>
      </w:pPr>
      <w:r>
        <w:rPr>
          <w:rFonts w:ascii="Arial" w:hAnsi="Arial"/>
          <w:b w:val="0"/>
          <w:i w:val="0"/>
          <w:sz w:val="28"/>
        </w:rPr>
        <w:t>Por lo demás, la afirmación de que no se comprobó el origen del depósito se contradice con el propio estado bancario que la autoridad tuvo a la vista, pues en él constan la institución remitente, la cuenta ordenante y la sociedad que dispuso la transferencia, datos que lo identifican con precisión.</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el depósito que la autoridad trató como valor de actos gravados es un préstamo intercompañías acreditado con pruebas que, enlazadas, eliminan el hecho base y destruyen el hecho presumido de la presunción del artículo 59, fracción III, del Código Fiscal de la Federación, por lo que la reducción del saldo a favor se apoyó en una apreciación equivocada de lo ocurrido.</w:t>
      </w:r>
    </w:p>
    <w:p>
      <w:pPr>
        <w:spacing w:line="360" w:lineRule="auto"/>
        <w:jc w:val="both"/>
      </w:pPr>
      <w:r>
        <w:rPr>
          <w:rFonts w:ascii="Arial" w:hAnsi="Arial"/>
          <w:b w:val="0"/>
          <w:i w:val="0"/>
          <w:sz w:val="28"/>
        </w:rPr>
        <w:t>Por ello se actualiza la causal del artículo 51, fracción IV, de la Ley Federal de Procedimiento Contencioso Administrativo y procede declarar la nulidad de la resolución impugnada y de la recurrida, en la porción que no satisfizo el interés jurídico de la actora, conforme a los numerales 1o., segundo párrafo, y 50 del mismo ordenamiento.</w:t>
      </w:r>
    </w:p>
    <w:p>
      <w:pPr>
        <w:spacing w:line="360" w:lineRule="auto"/>
        <w:jc w:val="both"/>
      </w:pPr>
      <w:r>
        <w:rPr>
          <w:rFonts w:ascii="Arial" w:hAnsi="Arial"/>
          <w:b w:val="0"/>
          <w:i w:val="0"/>
          <w:sz w:val="28"/>
        </w:rPr>
        <w:t xml:space="preserve">Asimismo, con fundamento en el artículo 52, fracción V, inciso a), de la ley procesal, se solicita que, previa constatación de la procedencia de la devolución en los términos que exige el numeral 50 de ese cuerpo normativo, la Sala reconozca el derecho subjetivo de la parte actora a obtener </w:t>
      </w:r>
      <w:r>
        <w:rPr>
          <w:rFonts w:ascii="Arial" w:hAnsi="Arial"/>
          <w:b/>
          <w:i w:val="0"/>
          <w:sz w:val="28"/>
        </w:rPr>
        <w:t>[MONTO DE LA DIFERENCIA NEGADA]</w:t>
      </w:r>
      <w:r>
        <w:rPr>
          <w:rFonts w:ascii="Arial" w:hAnsi="Arial"/>
          <w:b w:val="0"/>
          <w:i w:val="0"/>
          <w:sz w:val="28"/>
        </w:rPr>
        <w:t xml:space="preserve"> y condene a la autoridad a su pago.</w:t>
      </w:r>
    </w:p>
    <w:p>
      <w:pPr>
        <w:spacing w:line="360" w:lineRule="auto"/>
        <w:jc w:val="both"/>
      </w:pPr>
      <w:r>
        <w:rPr>
          <w:rFonts w:ascii="Arial" w:hAnsi="Arial"/>
          <w:b w:val="0"/>
          <w:i w:val="0"/>
          <w:sz w:val="28"/>
        </w:rPr>
        <w:t>La cantidad deberá cubrirse actualizada conforme a los artículos 17-A y 22 del Código Fiscal de la Federación y con los intereses que procedan en términos del numeral 22-A del propio ordenamiento, preceptos que la Sala aplicó en el caso análogo al fijar los efectos de su fallo.</w:t>
      </w:r>
    </w:p>
    <w:p>
      <w:pPr>
        <w:spacing w:line="360" w:lineRule="auto"/>
        <w:jc w:val="both"/>
      </w:pPr>
      <w:r>
        <w:rPr>
          <w:rFonts w:ascii="Arial" w:hAnsi="Arial"/>
          <w:b w:val="0"/>
          <w:i w:val="0"/>
          <w:sz w:val="28"/>
        </w:rPr>
        <w:t>En forma subsidiaria, si la Sala estimara que no cuenta con elementos para constatar el monto, se solicita declarar la nulidad conforme al artículo 52, fracción IV, de la ley procesal, con indicación de los términos en que la autoridad deberá dictar nueva resolución, en la que considere que el depósito es un préstamo y devuelva la diferencia con su actualización e intereses.</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FERRER BELTRÁN, Jordi, </w:t>
      </w:r>
      <w:r>
        <w:rPr>
          <w:rFonts w:ascii="Arial" w:hAnsi="Arial"/>
          <w:i/>
          <w:sz w:val="20"/>
        </w:rPr>
        <w:t>Motivación y racionalidad de la prueba</w:t>
      </w:r>
      <w:r>
        <w:rPr>
          <w:rFonts w:ascii="Arial" w:hAnsi="Arial"/>
          <w:i w:val="0"/>
          <w:sz w:val="20"/>
        </w:rPr>
        <w:t>, Editora Jurídica Grijley, Lima, 2016, p. 245.</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 p. 82.</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FERRER BELTRÁN, Jordi, </w:t>
      </w:r>
      <w:r>
        <w:rPr>
          <w:rFonts w:ascii="Arial" w:hAnsi="Arial"/>
          <w:i/>
          <w:sz w:val="20"/>
        </w:rPr>
        <w:t>Motivación y racionalidad de la prueba</w:t>
      </w:r>
      <w:r>
        <w:rPr>
          <w:rFonts w:ascii="Arial" w:hAnsi="Arial"/>
          <w:i w:val="0"/>
          <w:sz w:val="20"/>
        </w:rPr>
        <w:t>, Editora Jurídica Grijley, Lima, 2016, p. 98.</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 p. 91.</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 p. 72.</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22.</w:t>
      </w:r>
    </w:p>
    <w:p/>
    <w:p>
      <w:r>
        <w:rPr>
          <w:rFonts w:ascii="Arial" w:hAnsi="Arial"/>
          <w:b/>
          <w:sz w:val="22"/>
        </w:rPr>
        <w:t>BIBLIOGRAFÍA</w:t>
      </w:r>
    </w:p>
    <w:p>
      <w:pPr>
        <w:spacing w:after="60"/>
        <w:ind w:left="360" w:hanging="360"/>
        <w:jc w:val="both"/>
      </w:pP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w:t>
      </w:r>
    </w:p>
    <w:p>
      <w:pPr>
        <w:spacing w:after="60"/>
        <w:ind w:left="360" w:hanging="360"/>
        <w:jc w:val="both"/>
      </w:pPr>
      <w:r>
        <w:rPr>
          <w:rFonts w:ascii="Arial" w:hAnsi="Arial"/>
          <w:i w:val="0"/>
          <w:sz w:val="20"/>
        </w:rPr>
        <w:t xml:space="preserve">FERRER BELTRÁN, Jordi, </w:t>
      </w:r>
      <w:r>
        <w:rPr>
          <w:rFonts w:ascii="Arial" w:hAnsi="Arial"/>
          <w:i/>
          <w:sz w:val="20"/>
        </w:rPr>
        <w:t>Motivación y racionalidad de la prueba</w:t>
      </w:r>
      <w:r>
        <w:rPr>
          <w:rFonts w:ascii="Arial" w:hAnsi="Arial"/>
          <w:i w:val="0"/>
          <w:sz w:val="20"/>
        </w:rPr>
        <w:t>, Editora Jurídica Grijley, Lima, 2016.</w:t>
      </w:r>
    </w:p>
    <w:p>
      <w:pPr>
        <w:spacing w:after="60"/>
        <w:ind w:left="360" w:hanging="360"/>
        <w:jc w:val="both"/>
      </w:pP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