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DEVOLUCIÓN DE ISR NEGADA PORQUE LA AFORE NO ESTÁ EN EL LISTADO DEL SAT</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adáptalo a tu demanda de nulidad. Antes de llenar nada, reúne cuatro documentos: la resolución que negó total o parcialmente la devolución, la resolución del recurso administrativo si lo interpusiste, la constancia de tu cuenta individual o de aportaciones complementarias para el retiro y tu declaración anual del ejercicio.</w:t>
      </w:r>
    </w:p>
    <w:p>
      <w:pPr>
        <w:spacing w:line="360" w:lineRule="auto"/>
        <w:jc w:val="both"/>
      </w:pPr>
      <w:r>
        <w:rPr>
          <w:rFonts w:ascii="Arial" w:hAnsi="Arial"/>
          <w:b w:val="0"/>
          <w:i w:val="0"/>
          <w:sz w:val="24"/>
        </w:rPr>
        <w:t>Después haz dos comprobaciones que deciden si este machote te sirve: que el único motivo de rechazo sea la ausencia de tu administradora en el listado de instituciones autorizadas, y que el texto del artículo 151, fracción V, y de la regla miscelánea que citas correspondan al ejercicio de tu declaración, porque la numeración de las reglas cambia cada año.</w:t>
      </w:r>
    </w:p>
    <w:p>
      <w:pPr>
        <w:spacing w:line="360" w:lineRule="auto"/>
        <w:jc w:val="both"/>
      </w:pPr>
      <w:r>
        <w:rPr>
          <w:rFonts w:ascii="Arial" w:hAnsi="Arial"/>
          <w:b w:val="0"/>
          <w:i w:val="0"/>
          <w:sz w:val="24"/>
        </w:rPr>
        <w:t>Transcribe el motivo de rechazo de manera literal, sin resumirlo: la fuerza del concepto está en mostrar que la autoridad no cuestionó nada más. Presenta la demanda dentro de los treinta días que la Ley Federal de Procedimiento Contencioso Administrativo concede para impugnar la resolución definitiva, contados desde que surta efectos la notificación, y confirma en la ley el precepto que corresponde a la vía en que se tramite tu asunto.</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[NOMBRE DE LA PARTE ACTORA]</w:t>
      </w:r>
      <w:r>
        <w:rPr>
          <w:rFonts w:ascii="Arial" w:hAnsi="Arial"/>
          <w:b w:val="0"/>
          <w:i w:val="0"/>
          <w:sz w:val="24"/>
        </w:rPr>
        <w:t>: la persona física que solicitó la devolución y promueve el juicio.</w:t>
      </w:r>
    </w:p>
    <w:p>
      <w:pPr>
        <w:spacing w:line="360" w:lineRule="auto"/>
        <w:jc w:val="both"/>
      </w:pPr>
      <w:r>
        <w:rPr>
          <w:rFonts w:ascii="Arial" w:hAnsi="Arial"/>
          <w:b/>
          <w:i w:val="0"/>
          <w:sz w:val="24"/>
        </w:rPr>
        <w:t>[AUTORIDAD DEMANDADA]</w:t>
      </w:r>
      <w:r>
        <w:rPr>
          <w:rFonts w:ascii="Arial" w:hAnsi="Arial"/>
          <w:b w:val="0"/>
          <w:i w:val="0"/>
          <w:sz w:val="24"/>
        </w:rPr>
        <w:t>: la denominación completa de la autoridad que emitió la resolución que impugnas.</w:t>
      </w:r>
    </w:p>
    <w:p>
      <w:pPr>
        <w:spacing w:line="360" w:lineRule="auto"/>
        <w:jc w:val="both"/>
      </w:pPr>
      <w:r>
        <w:rPr>
          <w:rFonts w:ascii="Arial" w:hAnsi="Arial"/>
          <w:b/>
          <w:i w:val="0"/>
          <w:sz w:val="24"/>
        </w:rPr>
        <w:t>[NÚMERO Y FECHA DE LA RESOLUCIÓN IMPUGNADA]</w:t>
      </w:r>
      <w:r>
        <w:rPr>
          <w:rFonts w:ascii="Arial" w:hAnsi="Arial"/>
          <w:b w:val="0"/>
          <w:i w:val="0"/>
          <w:sz w:val="24"/>
        </w:rPr>
        <w:t>: el número de oficio y su fecha, tal como aparecen en el documento.</w:t>
      </w:r>
    </w:p>
    <w:p>
      <w:pPr>
        <w:spacing w:line="360" w:lineRule="auto"/>
        <w:jc w:val="both"/>
      </w:pPr>
      <w:r>
        <w:rPr>
          <w:rFonts w:ascii="Arial" w:hAnsi="Arial"/>
          <w:b/>
          <w:i w:val="0"/>
          <w:sz w:val="24"/>
        </w:rPr>
        <w:t>[FECHA DE NOTIFICACIÓN DE LA RESOLUCIÓN IMPUGNADA]</w:t>
      </w:r>
      <w:r>
        <w:rPr>
          <w:rFonts w:ascii="Arial" w:hAnsi="Arial"/>
          <w:b w:val="0"/>
          <w:i w:val="0"/>
          <w:sz w:val="24"/>
        </w:rPr>
        <w:t>: la fecha en que te fue notificada, con la constancia que lo acredite.</w:t>
      </w:r>
    </w:p>
    <w:p>
      <w:pPr>
        <w:spacing w:line="360" w:lineRule="auto"/>
        <w:jc w:val="both"/>
      </w:pPr>
      <w:r>
        <w:rPr>
          <w:rFonts w:ascii="Arial" w:hAnsi="Arial"/>
          <w:b/>
          <w:i w:val="0"/>
          <w:sz w:val="24"/>
        </w:rPr>
        <w:t>[NÚMERO DE CONTROL DE LA SOLICITUD DE DEVOLUCIÓN]</w:t>
      </w:r>
      <w:r>
        <w:rPr>
          <w:rFonts w:ascii="Arial" w:hAnsi="Arial"/>
          <w:b w:val="0"/>
          <w:i w:val="0"/>
          <w:sz w:val="24"/>
        </w:rPr>
        <w:t>: el número con que se tramitó tu solicitud ante el SAT.</w:t>
      </w:r>
    </w:p>
    <w:p>
      <w:pPr>
        <w:spacing w:line="360" w:lineRule="auto"/>
        <w:jc w:val="both"/>
      </w:pPr>
      <w:r>
        <w:rPr>
          <w:rFonts w:ascii="Arial" w:hAnsi="Arial"/>
          <w:b/>
          <w:i w:val="0"/>
          <w:sz w:val="24"/>
        </w:rPr>
        <w:t>[EJERCICIO FISCAL]</w:t>
      </w:r>
      <w:r>
        <w:rPr>
          <w:rFonts w:ascii="Arial" w:hAnsi="Arial"/>
          <w:b w:val="0"/>
          <w:i w:val="0"/>
          <w:sz w:val="24"/>
        </w:rPr>
        <w:t>: el año de la declaración anual de la que resultó el saldo a favor.</w:t>
      </w:r>
    </w:p>
    <w:p>
      <w:pPr>
        <w:spacing w:line="360" w:lineRule="auto"/>
        <w:jc w:val="both"/>
      </w:pPr>
      <w:r>
        <w:rPr>
          <w:rFonts w:ascii="Arial" w:hAnsi="Arial"/>
          <w:b/>
          <w:i w:val="0"/>
          <w:sz w:val="24"/>
        </w:rPr>
        <w:t>[MONTO SOLICITADO EN DEVOLUCIÓN]</w:t>
      </w:r>
      <w:r>
        <w:rPr>
          <w:rFonts w:ascii="Arial" w:hAnsi="Arial"/>
          <w:b w:val="0"/>
          <w:i w:val="0"/>
          <w:sz w:val="24"/>
        </w:rPr>
        <w:t>: la cantidad que pediste en devolución, en pesos.</w:t>
      </w:r>
    </w:p>
    <w:p>
      <w:pPr>
        <w:spacing w:line="360" w:lineRule="auto"/>
        <w:jc w:val="both"/>
      </w:pPr>
      <w:r>
        <w:rPr>
          <w:rFonts w:ascii="Arial" w:hAnsi="Arial"/>
          <w:b/>
          <w:i w:val="0"/>
          <w:sz w:val="24"/>
        </w:rPr>
        <w:t>[MONTO NEGADO]</w:t>
      </w:r>
      <w:r>
        <w:rPr>
          <w:rFonts w:ascii="Arial" w:hAnsi="Arial"/>
          <w:b w:val="0"/>
          <w:i w:val="0"/>
          <w:sz w:val="24"/>
        </w:rPr>
        <w:t>: la diferencia que la autoridad dejó de reintegrar.</w:t>
      </w:r>
    </w:p>
    <w:p>
      <w:pPr>
        <w:spacing w:line="360" w:lineRule="auto"/>
        <w:jc w:val="both"/>
      </w:pPr>
      <w:r>
        <w:rPr>
          <w:rFonts w:ascii="Arial" w:hAnsi="Arial"/>
          <w:b/>
          <w:i w:val="0"/>
          <w:sz w:val="24"/>
        </w:rPr>
        <w:t>[NOMBRE DE LA ADMINISTRADORA DE FONDOS PARA EL RETIRO]</w:t>
      </w:r>
      <w:r>
        <w:rPr>
          <w:rFonts w:ascii="Arial" w:hAnsi="Arial"/>
          <w:b w:val="0"/>
          <w:i w:val="0"/>
          <w:sz w:val="24"/>
        </w:rPr>
        <w:t>: la institución que administra tu cuenta individual, como aparece en tu constancia.</w:t>
      </w:r>
    </w:p>
    <w:p>
      <w:pPr>
        <w:spacing w:line="360" w:lineRule="auto"/>
        <w:jc w:val="both"/>
      </w:pPr>
      <w:r>
        <w:rPr>
          <w:rFonts w:ascii="Arial" w:hAnsi="Arial"/>
          <w:b/>
          <w:i w:val="0"/>
          <w:sz w:val="24"/>
        </w:rPr>
        <w:t>[IMPORTE DE LAS APORTACIONES COMPLEMENTARIAS DE RETIRO]</w:t>
      </w:r>
      <w:r>
        <w:rPr>
          <w:rFonts w:ascii="Arial" w:hAnsi="Arial"/>
          <w:b w:val="0"/>
          <w:i w:val="0"/>
          <w:sz w:val="24"/>
        </w:rPr>
        <w:t>: el monto que declaraste como deducción personal por ese concepto.</w:t>
      </w:r>
    </w:p>
    <w:p>
      <w:pPr>
        <w:spacing w:line="360" w:lineRule="auto"/>
        <w:jc w:val="both"/>
      </w:pPr>
      <w:r>
        <w:rPr>
          <w:rFonts w:ascii="Arial" w:hAnsi="Arial"/>
          <w:b/>
          <w:i w:val="0"/>
          <w:sz w:val="24"/>
        </w:rPr>
        <w:t>[DOCUMENTOS CON QUE SE ACREDITAN LAS APORTACIONES]</w:t>
      </w:r>
      <w:r>
        <w:rPr>
          <w:rFonts w:ascii="Arial" w:hAnsi="Arial"/>
          <w:b w:val="0"/>
          <w:i w:val="0"/>
          <w:sz w:val="24"/>
        </w:rPr>
        <w:t>: la relación de las constancias que ofreces, con el folio que ocupen en el expediente.</w:t>
      </w:r>
    </w:p>
    <w:p>
      <w:pPr>
        <w:spacing w:line="360" w:lineRule="auto"/>
        <w:jc w:val="both"/>
      </w:pPr>
      <w:r>
        <w:rPr>
          <w:rFonts w:ascii="Arial" w:hAnsi="Arial"/>
          <w:b/>
          <w:i w:val="0"/>
          <w:sz w:val="24"/>
        </w:rPr>
        <w:t>[TRANSCRIPCIÓN DEL MOTIVO DE RECHAZO DE LA RESOLUCIÓN IMPUGNADA]</w:t>
      </w:r>
      <w:r>
        <w:rPr>
          <w:rFonts w:ascii="Arial" w:hAnsi="Arial"/>
          <w:b w:val="0"/>
          <w:i w:val="0"/>
          <w:sz w:val="24"/>
        </w:rPr>
        <w:t>: el párrafo de la resolución en que la autoridad explica por qué excluyó la deducción, transcrito de forma literal.</w:t>
      </w:r>
    </w:p>
    <w:p/>
    <w:p>
      <w:pPr>
        <w:spacing w:line="360" w:lineRule="auto"/>
        <w:jc w:val="both"/>
      </w:pPr>
      <w:r>
        <w:rPr>
          <w:rFonts w:ascii="Arial" w:hAnsi="Arial"/>
          <w:b/>
          <w:sz w:val="28"/>
        </w:rPr>
        <w:t>[NÚMERO ORDINAL DEL CONCEPTO] CONCEPTO DE IMPUGNACIÓN. Indebida fundamentación y motivación de la negativa de devolución. La autoridad condicionó la deducción de las aportaciones complementarias de retiro, que prevé el artículo 151, fracción V, primer párrafo, de la Ley del Impuesto sobre la Renta, a que la administradora de fondos para el retiro figurara en el listado de la regla 3.17.5. de la Resolución Miscelánea Fiscal, exigencia que la ley dirige a las instituciones administradoras y no a quien aporta, lo que actualiza 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impugnada, contenida en el oficio </w:t>
      </w:r>
      <w:r>
        <w:rPr>
          <w:rFonts w:ascii="Arial" w:hAnsi="Arial"/>
          <w:b/>
          <w:i w:val="0"/>
          <w:sz w:val="28"/>
        </w:rPr>
        <w:t>[NÚMERO Y FECHA DE LA RESOLUCIÓN IMPUGNADA]</w:t>
      </w:r>
      <w:r>
        <w:rPr>
          <w:rFonts w:ascii="Arial" w:hAnsi="Arial"/>
          <w:b w:val="0"/>
          <w:i w:val="0"/>
          <w:sz w:val="28"/>
        </w:rPr>
        <w:t xml:space="preserve">, emitida por la </w:t>
      </w:r>
      <w:r>
        <w:rPr>
          <w:rFonts w:ascii="Arial" w:hAnsi="Arial"/>
          <w:b/>
          <w:i w:val="0"/>
          <w:sz w:val="28"/>
        </w:rPr>
        <w:t>[AUTORIDAD DEMANDADA]</w:t>
      </w:r>
      <w:r>
        <w:rPr>
          <w:rFonts w:ascii="Arial" w:hAnsi="Arial"/>
          <w:b w:val="0"/>
          <w:i w:val="0"/>
          <w:sz w:val="28"/>
        </w:rPr>
        <w:t xml:space="preserve">, es ilegal porque niega a </w:t>
      </w:r>
      <w:r>
        <w:rPr>
          <w:rFonts w:ascii="Arial" w:hAnsi="Arial"/>
          <w:b/>
          <w:i w:val="0"/>
          <w:sz w:val="28"/>
        </w:rPr>
        <w:t>[NOMBRE DE LA PARTE ACTORA]</w:t>
      </w:r>
      <w:r>
        <w:rPr>
          <w:rFonts w:ascii="Arial" w:hAnsi="Arial"/>
          <w:b w:val="0"/>
          <w:i w:val="0"/>
          <w:sz w:val="28"/>
        </w:rPr>
        <w:t xml:space="preserve"> la devolución del saldo a favor del impuesto sobre la renta del ejercicio </w:t>
      </w:r>
      <w:r>
        <w:rPr>
          <w:rFonts w:ascii="Arial" w:hAnsi="Arial"/>
          <w:b/>
          <w:i w:val="0"/>
          <w:sz w:val="28"/>
        </w:rPr>
        <w:t>[EJERCICIO FISCAL]</w:t>
      </w:r>
      <w:r>
        <w:rPr>
          <w:rFonts w:ascii="Arial" w:hAnsi="Arial"/>
          <w:b w:val="0"/>
          <w:i w:val="0"/>
          <w:sz w:val="28"/>
        </w:rPr>
        <w:t xml:space="preserve"> con un único motivo: que </w:t>
      </w:r>
      <w:r>
        <w:rPr>
          <w:rFonts w:ascii="Arial" w:hAnsi="Arial"/>
          <w:b/>
          <w:i w:val="0"/>
          <w:sz w:val="28"/>
        </w:rPr>
        <w:t>[NOMBRE DE LA ADMINISTRADORA DE FONDOS PARA EL RETIRO]</w:t>
      </w:r>
      <w:r>
        <w:rPr>
          <w:rFonts w:ascii="Arial" w:hAnsi="Arial"/>
          <w:b w:val="0"/>
          <w:i w:val="0"/>
          <w:sz w:val="28"/>
        </w:rPr>
        <w:t xml:space="preserve"> no aparece en el listado de instituciones autorizadas para administrar planes personales de retiro publicado en el portal del Servicio de Administración Tributaria.</w:t>
      </w:r>
    </w:p>
    <w:p>
      <w:pPr>
        <w:spacing w:line="360" w:lineRule="auto"/>
        <w:jc w:val="both"/>
      </w:pPr>
      <w:r>
        <w:rPr>
          <w:rFonts w:ascii="Arial" w:hAnsi="Arial"/>
          <w:b w:val="0"/>
          <w:i w:val="0"/>
          <w:sz w:val="28"/>
        </w:rPr>
        <w:t>La demostración descansa en una premisa que se lee del propio precepto que la autoridad invocó. El artículo 151, fracción V, primer párrafo, de la Ley del Impuesto sobre la Renta permite deducir las aportaciones complementarias de retiro realizadas directamente en la subcuenta de aportaciones complementarias de retiro, en los términos de la Ley de los Sistemas de Ahorro para el Retiro, sin exigir a la persona contribuyente que la administradora de esa subcuenta figure en algún listado; los requisitos del segundo párrafo tienen por destinatarias a las instituciones que administran las cuentas.</w:t>
      </w:r>
    </w:p>
    <w:p>
      <w:pPr>
        <w:spacing w:line="360" w:lineRule="auto"/>
        <w:jc w:val="both"/>
      </w:pPr>
      <w:r>
        <w:rPr>
          <w:rFonts w:ascii="Arial" w:hAnsi="Arial"/>
          <w:b w:val="0"/>
          <w:i w:val="0"/>
          <w:sz w:val="28"/>
        </w:rPr>
        <w:t xml:space="preserve">Se demostrará, además, que el perjuicio es patrimonial y directo: la autoridad excluyó de las deducciones personales el importe de </w:t>
      </w:r>
      <w:r>
        <w:rPr>
          <w:rFonts w:ascii="Arial" w:hAnsi="Arial"/>
          <w:b/>
          <w:i w:val="0"/>
          <w:sz w:val="28"/>
        </w:rPr>
        <w:t>[IMPORTE DE LAS APORTACIONES COMPLEMENTARIAS DE RETIRO]</w:t>
      </w:r>
      <w:r>
        <w:rPr>
          <w:rFonts w:ascii="Arial" w:hAnsi="Arial"/>
          <w:b w:val="0"/>
          <w:i w:val="0"/>
          <w:sz w:val="28"/>
        </w:rPr>
        <w:t xml:space="preserve">, recalculó el impuesto del ejercicio y, por esa sola vía, redujo el saldo a favor devolutivo, de modo que de la cantidad solicitada en </w:t>
      </w:r>
      <w:r>
        <w:rPr>
          <w:rFonts w:ascii="Arial" w:hAnsi="Arial"/>
          <w:b/>
          <w:i w:val="0"/>
          <w:sz w:val="28"/>
        </w:rPr>
        <w:t>[MONTO SOLICITADO EN DEVOLUCIÓN]</w:t>
      </w:r>
      <w:r>
        <w:rPr>
          <w:rFonts w:ascii="Arial" w:hAnsi="Arial"/>
          <w:b w:val="0"/>
          <w:i w:val="0"/>
          <w:sz w:val="28"/>
        </w:rPr>
        <w:t xml:space="preserve"> dejó de reintegrar </w:t>
      </w:r>
      <w:r>
        <w:rPr>
          <w:rFonts w:ascii="Arial" w:hAnsi="Arial"/>
          <w:b/>
          <w:i w:val="0"/>
          <w:sz w:val="28"/>
        </w:rPr>
        <w:t>[MONTO NEGADO]</w:t>
      </w:r>
      <w:r>
        <w:rPr>
          <w:rFonts w:ascii="Arial" w:hAnsi="Arial"/>
          <w:b w:val="0"/>
          <w:i w:val="0"/>
          <w:sz w:val="28"/>
        </w:rPr>
        <w:t>, sin cuestionar que las aportaciones se hubieran realizado ni que respetaran el límite del diez por ciento de los ingresos acumulables.</w:t>
      </w:r>
    </w:p>
    <w:p>
      <w:pPr>
        <w:spacing w:line="360" w:lineRule="auto"/>
        <w:jc w:val="both"/>
      </w:pPr>
      <w:r>
        <w:rPr>
          <w:rFonts w:ascii="Arial" w:hAnsi="Arial"/>
          <w:b w:val="0"/>
          <w:i w:val="0"/>
          <w:sz w:val="28"/>
        </w:rPr>
        <w:t>Si la premisa se acepta, la conclusión es forzosa: la resolución se dictó en contravención de la disposición aplicada y dejó de aplicar la debida, supuesto del artículo 51, fracción IV, de la Ley Federal de Procedimiento Contencioso Administrativo, y procede declarar su nulidad, reconocer el derecho subjetivo de la parte actora y condenar a la autoridad a devolver la cantidad solicitada con su actualización, en términos del artículo 52, fracción V, inciso a), de la misma Ley.</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La resolución impugnada es la contenida en el oficio </w:t>
      </w:r>
      <w:r>
        <w:rPr>
          <w:rFonts w:ascii="Arial" w:hAnsi="Arial"/>
          <w:b/>
          <w:i w:val="0"/>
          <w:sz w:val="28"/>
        </w:rPr>
        <w:t>[NÚMERO Y FECHA DE LA RESOLUCIÓN IMPUGNADA]</w:t>
      </w:r>
      <w:r>
        <w:rPr>
          <w:rFonts w:ascii="Arial" w:hAnsi="Arial"/>
          <w:b w:val="0"/>
          <w:i w:val="0"/>
          <w:sz w:val="28"/>
        </w:rPr>
        <w:t xml:space="preserve">, emitida por la </w:t>
      </w:r>
      <w:r>
        <w:rPr>
          <w:rFonts w:ascii="Arial" w:hAnsi="Arial"/>
          <w:b/>
          <w:i w:val="0"/>
          <w:sz w:val="28"/>
        </w:rPr>
        <w:t>[AUTORIDAD DEMANDADA]</w:t>
      </w:r>
      <w:r>
        <w:rPr>
          <w:rFonts w:ascii="Arial" w:hAnsi="Arial"/>
          <w:b w:val="0"/>
          <w:i w:val="0"/>
          <w:sz w:val="28"/>
        </w:rPr>
        <w:t xml:space="preserve"> y notificada el </w:t>
      </w:r>
      <w:r>
        <w:rPr>
          <w:rFonts w:ascii="Arial" w:hAnsi="Arial"/>
          <w:b/>
          <w:i w:val="0"/>
          <w:sz w:val="28"/>
        </w:rPr>
        <w:t>[FECHA DE NOTIFICACIÓN DE LA RESOLUCIÓN IMPUGNADA]</w:t>
      </w:r>
      <w:r>
        <w:rPr>
          <w:rFonts w:ascii="Arial" w:hAnsi="Arial"/>
          <w:b w:val="0"/>
          <w:i w:val="0"/>
          <w:sz w:val="28"/>
        </w:rPr>
        <w:t xml:space="preserve">, por la que se resolvió la solicitud de devolución con número de control </w:t>
      </w:r>
      <w:r>
        <w:rPr>
          <w:rFonts w:ascii="Arial" w:hAnsi="Arial"/>
          <w:b/>
          <w:i w:val="0"/>
          <w:sz w:val="28"/>
        </w:rPr>
        <w:t>[NÚMERO DE CONTROL DE LA SOLICITUD DE DEVOLUCIÓN]</w:t>
      </w:r>
      <w:r>
        <w:rPr>
          <w:rFonts w:ascii="Arial" w:hAnsi="Arial"/>
          <w:b w:val="0"/>
          <w:i w:val="0"/>
          <w:sz w:val="28"/>
        </w:rPr>
        <w:t xml:space="preserve"> y se autorizó sólo una parte del saldo a favor del impuesto sobre la renta del ejercicio </w:t>
      </w:r>
      <w:r>
        <w:rPr>
          <w:rFonts w:ascii="Arial" w:hAnsi="Arial"/>
          <w:b/>
          <w:i w:val="0"/>
          <w:sz w:val="28"/>
        </w:rPr>
        <w:t>[EJERCICIO FISCAL]</w:t>
      </w:r>
      <w:r>
        <w:rPr>
          <w:rFonts w:ascii="Arial" w:hAnsi="Arial"/>
          <w:b w:val="0"/>
          <w:i w:val="0"/>
          <w:sz w:val="28"/>
        </w:rPr>
        <w:t>. La demanda se presenta dentro de los treinta días que concede la Ley Federal de Procedimiento Contencioso Administrativo, contados desde que surtió efectos esa notificación.</w:t>
      </w:r>
    </w:p>
    <w:p>
      <w:pPr>
        <w:spacing w:line="360" w:lineRule="auto"/>
        <w:jc w:val="both"/>
      </w:pPr>
      <w:r>
        <w:rPr>
          <w:rFonts w:ascii="Arial" w:hAnsi="Arial"/>
          <w:b w:val="0"/>
          <w:i w:val="0"/>
          <w:sz w:val="28"/>
        </w:rPr>
        <w:t xml:space="preserve">Las normas cuya indebida aplicación se plantea son el artículo 22, primer párrafo, del Código Fiscal de la Federación, que obliga a las autoridades fiscales a devolver las cantidades pagadas indebidamente y las que procedan conforme a las leyes fiscales; el artículo 151, primer párrafo y fracción V, de la Ley del Impuesto sobre la Renta, que autoriza la deducción personal reclamada; y la regla 3.17.5. de la Resolución Miscelánea Fiscal para </w:t>
      </w:r>
      <w:r>
        <w:rPr>
          <w:rFonts w:ascii="Arial" w:hAnsi="Arial"/>
          <w:b/>
          <w:i w:val="0"/>
          <w:sz w:val="28"/>
        </w:rPr>
        <w:t>[EJERCICIO FISCAL]</w:t>
      </w:r>
      <w:r>
        <w:rPr>
          <w:rFonts w:ascii="Arial" w:hAnsi="Arial"/>
          <w:b w:val="0"/>
          <w:i w:val="0"/>
          <w:sz w:val="28"/>
        </w:rPr>
        <w:t>, que la autoridad extendió a un sujeto al que no se dirige.</w:t>
      </w:r>
    </w:p>
    <w:p>
      <w:pPr>
        <w:spacing w:line="360" w:lineRule="auto"/>
        <w:jc w:val="both"/>
      </w:pPr>
      <w:r>
        <w:rPr>
          <w:rFonts w:ascii="Arial" w:hAnsi="Arial"/>
          <w:b w:val="0"/>
          <w:i w:val="0"/>
          <w:sz w:val="28"/>
        </w:rPr>
        <w:t>Se invocan también los artículos 16, primer párrafo, y 31, fracción IV, de la Constitución Política de los Estados Unidos Mexicanos. El primero exige que todo acto de molestia provenga de autoridad competente y funde y motive la causa legal del procedimiento; el segundo sujeta el deber de contribuir a los gastos públicos a la manera proporcional y equitativa que dispongan las leyes, de suerte que las condiciones de la contribución, y con ellas los requisitos de las deducciones, se toman de la ley y no de una lectura que la autoridad añade.</w:t>
      </w:r>
    </w:p>
    <w:p>
      <w:pPr>
        <w:spacing w:line="360" w:lineRule="auto"/>
        <w:jc w:val="both"/>
      </w:pPr>
      <w:r>
        <w:rPr>
          <w:rFonts w:ascii="Arial" w:hAnsi="Arial"/>
          <w:b w:val="0"/>
          <w:i w:val="0"/>
          <w:sz w:val="28"/>
        </w:rPr>
        <w:t xml:space="preserve">El perjuicio es concreto: la parte actora destinó recursos propios a su subcuenta de aportaciones complementarias de retiro, los declaró como deducción personal y acreditó su realización con </w:t>
      </w:r>
      <w:r>
        <w:rPr>
          <w:rFonts w:ascii="Arial" w:hAnsi="Arial"/>
          <w:b/>
          <w:i w:val="0"/>
          <w:sz w:val="28"/>
        </w:rPr>
        <w:t>[DOCUMENTOS CON QUE SE ACREDITAN LAS APORTACIONES]</w:t>
      </w:r>
      <w:r>
        <w:rPr>
          <w:rFonts w:ascii="Arial" w:hAnsi="Arial"/>
          <w:b w:val="0"/>
          <w:i w:val="0"/>
          <w:sz w:val="28"/>
        </w:rPr>
        <w:t>; la autoridad los desconoció por una omisión que no le pertenece. La pretensión es la nulidad de la resolución impugnada y el reconocimiento del derecho subjetivo a la devolución, con la condena correspondiente; subsidiariamente, la nulidad para el efecto de que se emita nueva resolución que autorice la devolución.</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 xml:space="preserve">Conviene empezar por el parámetro de validez del acto. El artículo 16, primer párrafo, de la Constitución dispone que </w:t>
      </w:r>
      <w:r>
        <w:rPr>
          <w:rFonts w:ascii="Arial" w:hAnsi="Arial"/>
          <w:b w:val="0"/>
          <w:i/>
          <w:sz w:val="28"/>
        </w:rPr>
        <w:t>“Nadie puede ser molestado en su persona, familia, domicilio, papeles o posesiones, sino en virtud de mandamiento escrito de la autoridad competente, que funde y motive la causa legal del procedimiento”</w:t>
      </w:r>
      <w:r>
        <w:rPr>
          <w:rFonts w:ascii="Arial" w:hAnsi="Arial"/>
          <w:b w:val="0"/>
          <w:i w:val="0"/>
          <w:sz w:val="28"/>
        </w:rPr>
        <w:t>. La fundamentación es la expresión precisa del precepto aplicable; la motivación, la de las razones particulares del caso; y entre ambas debe existir adecuación, es decir, que en el caso concreto se configure la hipótesis normativa.</w:t>
      </w:r>
    </w:p>
    <w:p>
      <w:pPr>
        <w:spacing w:line="360" w:lineRule="auto"/>
        <w:jc w:val="both"/>
      </w:pPr>
      <w:r>
        <w:rPr>
          <w:rFonts w:ascii="Arial" w:hAnsi="Arial"/>
          <w:b w:val="0"/>
          <w:i w:val="0"/>
          <w:sz w:val="28"/>
        </w:rPr>
        <w:t>De ahí que el vicio que aquí se plantea no sea la ausencia de esos requisitos, sino su desajuste. La doctrina especializada en el razonamiento de la justicia administrativa distingue con precisión ese supuesto: hay indebida fundamentación y motivación cuando ambos requisitos constitucionales están presentes, pero media un desajuste entre las normas aplicadas y los razonamientos que la autoridad formula frente al caso concreto.</w:t>
      </w:r>
      <w:r>
        <w:rPr>
          <w:rFonts w:ascii="Arial" w:hAnsi="Arial"/>
          <w:vertAlign w:val="superscript"/>
        </w:rPr>
        <w:t>1</w:t>
      </w:r>
      <w:r>
        <w:rPr>
          <w:rFonts w:ascii="Arial" w:hAnsi="Arial"/>
          <w:b w:val="0"/>
          <w:i w:val="0"/>
          <w:sz w:val="28"/>
        </w:rPr>
        <w:t xml:space="preserve"> La resolución impugnada cita un precepto real y da razones, pero las une con un eslabón que la norma no contiene.</w:t>
      </w:r>
    </w:p>
    <w:p>
      <w:pPr>
        <w:spacing w:line="360" w:lineRule="auto"/>
        <w:jc w:val="both"/>
      </w:pPr>
      <w:r>
        <w:rPr>
          <w:rFonts w:ascii="Arial" w:hAnsi="Arial"/>
          <w:b w:val="0"/>
          <w:i w:val="0"/>
          <w:sz w:val="28"/>
        </w:rPr>
        <w:t>El eslabón faltante se aprecia al leer con cuidado la fracción V del artículo 151 de la Ley del Impuesto sobre la Renta. Su primer párrafo enuncia tres conductas deducibles: las aportaciones complementarias de retiro realizadas directamente en la subcuenta de aportaciones complementarias de retiro, en los términos de la Ley de los Sistemas de Ahorro para el Retiro; las realizadas a las cuentas de planes personales de retiro; y las aportaciones voluntarias hechas a la subcuenta de aportaciones voluntarias, estas últimas sujetas a los requisitos de permanencia del segundo párrafo.</w:t>
      </w:r>
    </w:p>
    <w:p>
      <w:pPr>
        <w:spacing w:line="360" w:lineRule="auto"/>
        <w:jc w:val="both"/>
      </w:pPr>
      <w:r>
        <w:rPr>
          <w:rFonts w:ascii="Arial" w:hAnsi="Arial"/>
          <w:b w:val="0"/>
          <w:i w:val="0"/>
          <w:sz w:val="28"/>
        </w:rPr>
        <w:t>El segundo párrafo cumple una función distinta: define qué se considera plan personal de retiro y fija las condiciones que deben satisfacer las cuentas o canales de inversión y, señaladamente, las instituciones que las administran, entre ellas contar con autorización para operar en el país, obtener autorización previa del Servicio de Administración Tributaria y cumplir los requisitos para mantener su vigencia conforme a las reglas de carácter general. El sujeto de esas obligaciones es la institución administradora, no quien aporta.</w:t>
      </w:r>
    </w:p>
    <w:p>
      <w:pPr>
        <w:spacing w:line="360" w:lineRule="auto"/>
        <w:jc w:val="both"/>
      </w:pPr>
      <w:r>
        <w:rPr>
          <w:rFonts w:ascii="Arial" w:hAnsi="Arial"/>
          <w:b w:val="0"/>
          <w:i w:val="0"/>
          <w:sz w:val="28"/>
        </w:rPr>
        <w:t>La regla 3.17.5. de la Resolución Miscelánea Fiscal confirma ese reparto. Su texto dispone que se entenderán autorizadas para administrar planes personales de retiro, mediante su inclusión en el listado publicado en el portal del Servicio de Administración Tributaria, las instituciones que presenten la información y la documentación de la ficha de trámite correspondiente, y que deberán hacerlo cada año para continuar en él. Quien presenta el aviso, quien debe reiterarlo y quien se expone a salir del listado es la institución.</w:t>
      </w:r>
    </w:p>
    <w:p>
      <w:pPr>
        <w:spacing w:line="360" w:lineRule="auto"/>
        <w:jc w:val="both"/>
      </w:pPr>
      <w:r>
        <w:rPr>
          <w:rFonts w:ascii="Arial" w:hAnsi="Arial"/>
          <w:b w:val="0"/>
          <w:i w:val="0"/>
          <w:sz w:val="28"/>
        </w:rPr>
        <w:t>Sobre esa base opera una regla elemental de interpretación. No es permitido distinguir cuando la ley no distingue, ni deben hacerse excepciones que ella no contenga.</w:t>
      </w:r>
      <w:r>
        <w:rPr>
          <w:rFonts w:ascii="Arial" w:hAnsi="Arial"/>
          <w:vertAlign w:val="superscript"/>
        </w:rPr>
        <w:t>2</w:t>
      </w:r>
      <w:r>
        <w:rPr>
          <w:rFonts w:ascii="Arial" w:hAnsi="Arial"/>
          <w:b w:val="0"/>
          <w:i w:val="0"/>
          <w:sz w:val="28"/>
        </w:rPr>
        <w:t xml:space="preserve"> Y la ley debe cumplirse en los términos en que fue expedida por el legislador, lo que vincula a quien la aplica al principio de legalidad en sentido estricto y lo sujeta a la voluntad legislativa, de modo que si el enunciado está tomado en sentido general no cabe entenderlo en sentido particular.</w:t>
      </w:r>
      <w:r>
        <w:rPr>
          <w:rFonts w:ascii="Arial" w:hAnsi="Arial"/>
          <w:vertAlign w:val="superscript"/>
        </w:rPr>
        <w:t>3</w:t>
      </w:r>
    </w:p>
    <w:p>
      <w:pPr>
        <w:spacing w:line="360" w:lineRule="auto"/>
        <w:jc w:val="both"/>
      </w:pPr>
      <w:r>
        <w:rPr>
          <w:rFonts w:ascii="Arial" w:hAnsi="Arial"/>
          <w:b w:val="0"/>
          <w:i w:val="0"/>
          <w:sz w:val="28"/>
        </w:rPr>
        <w:t>Trasladadas al precepto, esas reglas arrojan un resultado unívoco. Donde el primer párrafo de la fracción V pide que la aportación se haga directamente en la subcuenta de aportaciones complementarias de retiro y que no exceda del diez por ciento de los ingresos acumulables del ejercicio, la autoridad no puede añadir que, además, la administradora figure en un listado; añadir ese requisito es crear una condición de deducibilidad que el legislador no estableció y desplazar a la persona contribuyente una carga de vigilancia ajena.</w:t>
      </w:r>
    </w:p>
    <w:p>
      <w:pPr>
        <w:spacing w:line="360" w:lineRule="auto"/>
        <w:jc w:val="both"/>
      </w:pPr>
      <w:r>
        <w:rPr>
          <w:rFonts w:ascii="Arial" w:hAnsi="Arial"/>
          <w:b w:val="0"/>
          <w:i w:val="0"/>
          <w:sz w:val="28"/>
        </w:rPr>
        <w:t>El desplazamiento choca, además, con la función de la certeza jurídica. La doctrina que la analiza como previsibilidad sostiene que la certeza jurídica puede considerarse subsistente cuando el sujeto que cumple la acción está en condiciones de prever las consecuencias jurídicas de su conducta.</w:t>
      </w:r>
      <w:r>
        <w:rPr>
          <w:rFonts w:ascii="Arial" w:hAnsi="Arial"/>
          <w:vertAlign w:val="superscript"/>
        </w:rPr>
        <w:t>4</w:t>
      </w:r>
      <w:r>
        <w:rPr>
          <w:rFonts w:ascii="Arial" w:hAnsi="Arial"/>
          <w:b w:val="0"/>
          <w:i w:val="0"/>
          <w:sz w:val="28"/>
        </w:rPr>
        <w:t xml:space="preserve"> Una deducción cuya suerte depende de que un tercero presente cada año un aviso, y de que la autoridad lo tenga por presentado, es una deducción que nadie puede prever al momento de aportar.</w:t>
      </w:r>
    </w:p>
    <w:p>
      <w:pPr>
        <w:spacing w:line="360" w:lineRule="auto"/>
        <w:jc w:val="both"/>
      </w:pPr>
      <w:r>
        <w:rPr>
          <w:rFonts w:ascii="Arial" w:hAnsi="Arial"/>
          <w:b w:val="0"/>
          <w:i w:val="0"/>
          <w:sz w:val="28"/>
        </w:rPr>
        <w:t>Conviene sumar el reparto de facultades. El artículo 22, primer párrafo, del Código Fiscal de la Federación obliga a las autoridades fiscales a devolver las cantidades pagadas indebidamente y las que procedan conforme a las leyes fiscales, y es la propia autoridad quien recibe los avisos de las instituciones, integra el listado y lo publica. La vigilancia de esas instituciones le corresponde a ella; no puede trasladar al particular las consecuencias de una omisión que está en aptitud de conocer y de corregir.</w:t>
      </w:r>
    </w:p>
    <w:p>
      <w:pPr>
        <w:spacing w:line="360" w:lineRule="auto"/>
        <w:jc w:val="both"/>
      </w:pPr>
      <w:r>
        <w:rPr>
          <w:rFonts w:ascii="Arial" w:hAnsi="Arial"/>
          <w:b w:val="0"/>
          <w:i w:val="0"/>
          <w:sz w:val="28"/>
        </w:rPr>
        <w:t>El cierre normativo lo dan los artículos 50, 51 y 52 de la Ley Federal de Procedimiento Contencioso Administrativo. La fracción IV del artículo 51 considera ilegal, entre otros supuestos, la dictada en contravención de las disposiciones aplicadas o que dejó de aplicar las debidas, en cuanto al fondo del negocio; y el artículo 52, fracción V, inciso a), faculta a la Sala para declarar la nulidad, reconocer al particular la existencia de un derecho subjetivo y condenar al cumplimiento de la obligación correlativa, siempre que el expediente arroje elementos para examinar la procedencia y la existencia de ese derecho.</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del expediente encuadran sin residuo en la premisa anterior. La parte actora presentó la declaración anual del ejercicio </w:t>
      </w:r>
      <w:r>
        <w:rPr>
          <w:rFonts w:ascii="Arial" w:hAnsi="Arial"/>
          <w:b/>
          <w:i w:val="0"/>
          <w:sz w:val="28"/>
        </w:rPr>
        <w:t>[EJERCICIO FISCAL]</w:t>
      </w:r>
      <w:r>
        <w:rPr>
          <w:rFonts w:ascii="Arial" w:hAnsi="Arial"/>
          <w:b w:val="0"/>
          <w:i w:val="0"/>
          <w:sz w:val="28"/>
        </w:rPr>
        <w:t xml:space="preserve"> y manifestó, en el apartado de deducciones personales, el importe de </w:t>
      </w:r>
      <w:r>
        <w:rPr>
          <w:rFonts w:ascii="Arial" w:hAnsi="Arial"/>
          <w:b/>
          <w:i w:val="0"/>
          <w:sz w:val="28"/>
        </w:rPr>
        <w:t>[IMPORTE DE LAS APORTACIONES COMPLEMENTARIAS DE RETIRO]</w:t>
      </w:r>
      <w:r>
        <w:rPr>
          <w:rFonts w:ascii="Arial" w:hAnsi="Arial"/>
          <w:b w:val="0"/>
          <w:i w:val="0"/>
          <w:sz w:val="28"/>
        </w:rPr>
        <w:t xml:space="preserve"> por aportaciones complementarias de retiro efectuadas directamente en la subcuenta correspondiente de su cuenta individual administrada por </w:t>
      </w:r>
      <w:r>
        <w:rPr>
          <w:rFonts w:ascii="Arial" w:hAnsi="Arial"/>
          <w:b/>
          <w:i w:val="0"/>
          <w:sz w:val="28"/>
        </w:rPr>
        <w:t>[NOMBRE DE LA ADMINISTRADORA DE FONDOS PARA EL RETIRO]</w:t>
      </w:r>
      <w:r>
        <w:rPr>
          <w:rFonts w:ascii="Arial" w:hAnsi="Arial"/>
          <w:b w:val="0"/>
          <w:i w:val="0"/>
          <w:sz w:val="28"/>
        </w:rPr>
        <w:t>; con ese antecedente solicitó la devolución del saldo a favor resultante.</w:t>
      </w:r>
    </w:p>
    <w:p>
      <w:pPr>
        <w:spacing w:line="360" w:lineRule="auto"/>
        <w:jc w:val="both"/>
      </w:pPr>
      <w:r>
        <w:rPr>
          <w:rFonts w:ascii="Arial" w:hAnsi="Arial"/>
          <w:b w:val="0"/>
          <w:i w:val="0"/>
          <w:sz w:val="28"/>
        </w:rPr>
        <w:t xml:space="preserve">La realización de las aportaciones consta en autos con </w:t>
      </w:r>
      <w:r>
        <w:rPr>
          <w:rFonts w:ascii="Arial" w:hAnsi="Arial"/>
          <w:b/>
          <w:i w:val="0"/>
          <w:sz w:val="28"/>
        </w:rPr>
        <w:t>[DOCUMENTOS CON QUE SE ACREDITAN LAS APORTACIONES]</w:t>
      </w:r>
      <w:r>
        <w:rPr>
          <w:rFonts w:ascii="Arial" w:hAnsi="Arial"/>
          <w:b w:val="0"/>
          <w:i w:val="0"/>
          <w:sz w:val="28"/>
        </w:rPr>
        <w:t>, documentales que acreditan tanto la titularidad de la cuenta individual como el importe abonado a la subcuenta de aportaciones complementarias de retiro durante el ejercicio. De esas constancias se sigue que las erogaciones son precisamente las que describe la fracción V del artículo 151 de la Ley del Impuesto sobre la Renta, y que se hicieron dentro del límite legal.</w:t>
      </w:r>
    </w:p>
    <w:p>
      <w:pPr>
        <w:spacing w:line="360" w:lineRule="auto"/>
        <w:jc w:val="both"/>
      </w:pPr>
      <w:r>
        <w:rPr>
          <w:rFonts w:ascii="Arial" w:hAnsi="Arial"/>
          <w:b w:val="0"/>
          <w:i w:val="0"/>
          <w:sz w:val="28"/>
        </w:rPr>
        <w:t xml:space="preserve">Pese a ello, la autoridad resolvió no considerar ese importe, con el razonamiento siguiente: </w:t>
      </w:r>
      <w:r>
        <w:rPr>
          <w:rFonts w:ascii="Arial" w:hAnsi="Arial"/>
          <w:b/>
          <w:i w:val="0"/>
          <w:sz w:val="28"/>
        </w:rPr>
        <w:t>[TRANSCRIPCIÓN DEL MOTIVO DE RECHAZO DE LA RESOLUCIÓN IMPUGNADA]</w:t>
      </w:r>
      <w:r>
        <w:rPr>
          <w:rFonts w:ascii="Arial" w:hAnsi="Arial"/>
          <w:b w:val="0"/>
          <w:i w:val="0"/>
          <w:sz w:val="28"/>
        </w:rPr>
        <w:t>. Reducido a su estructura, el argumento dice: la institución que administra la subcuenta no aparece en el listado publicado conforme a la regla 3.17.5.; luego la aportación de la persona contribuyente no es deducible; luego el saldo a favor se recalcula y se reintegra sólo en parte.</w:t>
      </w:r>
    </w:p>
    <w:p>
      <w:pPr>
        <w:spacing w:line="360" w:lineRule="auto"/>
        <w:jc w:val="both"/>
      </w:pPr>
      <w:r>
        <w:rPr>
          <w:rFonts w:ascii="Arial" w:hAnsi="Arial"/>
          <w:b w:val="0"/>
          <w:i w:val="0"/>
          <w:sz w:val="28"/>
        </w:rPr>
        <w:t>Importa fijar lo que la autoridad no cuestionó, porque ahí queda delimitada la litis. No negó que las aportaciones se hubieran efectuado; no negó que se hicieran en la subcuenta de aportaciones complementarias de retiro de una cuenta individual abierta a nombre de la parte actora; no negó su importe; no afirmó que excedieran del diez por ciento de los ingresos acumulables del ejercicio. Su único motivo de rechazo fue la ausencia de la administradora en el listado.</w:t>
      </w:r>
    </w:p>
    <w:p>
      <w:pPr>
        <w:spacing w:line="360" w:lineRule="auto"/>
        <w:jc w:val="both"/>
      </w:pPr>
      <w:r>
        <w:rPr>
          <w:rFonts w:ascii="Arial" w:hAnsi="Arial"/>
          <w:b w:val="0"/>
          <w:i w:val="0"/>
          <w:sz w:val="28"/>
        </w:rPr>
        <w:t>La subsunción es directa. La norma exige que la aportación se realice directamente en la subcuenta y que respete el límite; ambos extremos están acreditados y no fueron controvertidos; luego la deducción procede y el saldo a favor debe devolverse íntegro. La autoridad, en cambio, resolvió con apoyo en una condición que el primer párrafo de la fracción V no contiene y que el segundo dirige a otro sujeto, con lo que aplicó indebidamente el precepto y dejó de aplicar el que regía el caso.</w:t>
      </w:r>
    </w:p>
    <w:p>
      <w:pPr>
        <w:spacing w:line="360" w:lineRule="auto"/>
        <w:jc w:val="both"/>
      </w:pPr>
      <w:r>
        <w:rPr>
          <w:rFonts w:ascii="Arial" w:hAnsi="Arial"/>
          <w:b w:val="0"/>
          <w:i w:val="0"/>
          <w:sz w:val="28"/>
        </w:rPr>
        <w:t>El razonamiento es, además, lógicamente inválido, y conviene nombrar el error. Incurre en la falacia del non sequitur, denominación genérica de los argumentos en que la conclusión no se sigue de las premisas.</w:t>
      </w:r>
      <w:r>
        <w:rPr>
          <w:rFonts w:ascii="Arial" w:hAnsi="Arial"/>
          <w:vertAlign w:val="superscript"/>
        </w:rPr>
        <w:t>5</w:t>
      </w:r>
      <w:r>
        <w:rPr>
          <w:rFonts w:ascii="Arial" w:hAnsi="Arial"/>
          <w:b w:val="0"/>
          <w:i w:val="0"/>
          <w:sz w:val="28"/>
        </w:rPr>
        <w:t xml:space="preserve"> La premisa de la autoridad puede ser verdadera, esto es, que la institución no figure en el listado, y la conclusión que extrae, que la persona contribuyente no puede deducir, sigue siendo un salto: ninguna norma une ese hecho con esa consecuencia.</w:t>
      </w:r>
    </w:p>
    <w:p>
      <w:pPr>
        <w:spacing w:line="360" w:lineRule="auto"/>
        <w:jc w:val="both"/>
      </w:pPr>
      <w:r>
        <w:rPr>
          <w:rFonts w:ascii="Arial" w:hAnsi="Arial"/>
          <w:b w:val="0"/>
          <w:i w:val="0"/>
          <w:sz w:val="28"/>
        </w:rPr>
        <w:t>El segundo error es interpretativo y también tiene nombre propio. Se trata de la falacia del accidente, que la doctrina describe como la aplicación de una regla general a un caso particular cuyas circunstancias especiales harían inaplicable la regla.</w:t>
      </w:r>
      <w:r>
        <w:rPr>
          <w:rFonts w:ascii="Arial" w:hAnsi="Arial"/>
          <w:vertAlign w:val="superscript"/>
        </w:rPr>
        <w:t>6</w:t>
      </w:r>
      <w:r>
        <w:rPr>
          <w:rFonts w:ascii="Arial" w:hAnsi="Arial"/>
          <w:b w:val="0"/>
          <w:i w:val="0"/>
          <w:sz w:val="28"/>
        </w:rPr>
        <w:t xml:space="preserve"> Aquí la circunstancia relevante es el sujeto: el segundo párrafo de la fracción V y la regla miscelánea gobiernan a las instituciones administradoras, y la autoridad las aplicó a quien sólo aportó a su subcuenta.</w:t>
      </w:r>
    </w:p>
    <w:p>
      <w:pPr>
        <w:spacing w:line="360" w:lineRule="auto"/>
        <w:jc w:val="both"/>
      </w:pPr>
      <w:r>
        <w:rPr>
          <w:rFonts w:ascii="Arial" w:hAnsi="Arial"/>
          <w:b w:val="0"/>
          <w:i w:val="0"/>
          <w:sz w:val="28"/>
        </w:rPr>
        <w:t>El razonamiento correcto era otro, y es sencillo de enunciar. Primero, identificar qué conducta deducible se declaró: aportaciones complementarias de retiro en la subcuenta respectiva. Segundo, verificar los dos requisitos que la ley impone a quien aporta, que la aportación se hiciera directamente en esa subcuenta y que no excediera del límite. Tercero, si ambos se cumplen, autorizar la devolución; y, si estimaba incumplida una obligación de la institución administradora, dirigir sus facultades contra ella.</w:t>
      </w:r>
    </w:p>
    <w:p>
      <w:pPr>
        <w:spacing w:line="360" w:lineRule="auto"/>
        <w:jc w:val="both"/>
      </w:pPr>
      <w:r>
        <w:rPr>
          <w:rFonts w:ascii="Arial" w:hAnsi="Arial"/>
          <w:b w:val="0"/>
          <w:i w:val="0"/>
          <w:sz w:val="28"/>
        </w:rPr>
        <w:t>La consecuencia de convalidar el razonamiento revela su error. Si la deducibilidad dependiera de la permanencia de la administradora en un listado que se integra con avisos anuales, la persona que ahorra para su retiro tendría que consultar cada año una publicación administrativa, anticipar si su institución presentará el aviso y, en su caso, mudar sus recursos; y una omisión ajena, ocurrida después de la aportación, borraría un derecho ya ejercido conforme a la ley.</w:t>
      </w:r>
    </w:p>
    <w:p>
      <w:pPr>
        <w:spacing w:line="360" w:lineRule="auto"/>
        <w:jc w:val="both"/>
      </w:pPr>
      <w:r>
        <w:rPr>
          <w:rFonts w:ascii="Arial" w:hAnsi="Arial"/>
          <w:b w:val="0"/>
          <w:i w:val="0"/>
          <w:sz w:val="28"/>
        </w:rPr>
        <w:t>Tampoco auxilia a la autoridad el argumento de que la regla miscelánea concreta el precepto legal. Una regla de carácter general puede detallar el modo en que las instituciones acreditan su autorización, pero no puede crear un requisito a cargo de un sujeto distinto ni condicionar un derecho que la ley concedió sin esa condición; la propia regla lo advierte al precisar que en ningún caso la publicación en el listado otorga derechos distintos de los establecidos en las disposiciones aplicables.</w:t>
      </w:r>
    </w:p>
    <w:p>
      <w:pPr>
        <w:spacing w:line="360" w:lineRule="auto"/>
        <w:jc w:val="both"/>
      </w:pPr>
      <w:r>
        <w:rPr>
          <w:rFonts w:ascii="Arial" w:hAnsi="Arial"/>
          <w:b w:val="0"/>
          <w:i w:val="0"/>
          <w:sz w:val="28"/>
        </w:rPr>
        <w:t>Por último, la carga probatoria que corresponde a la parte actora en un juicio de esta naturaleza está satisfecha. No sólo se desvirtúa la presunción de legalidad del motivo de rechazo, al mostrarse que descansa en una condición inexistente; también se acredita el derecho subjetivo a la devolución con las constancias ofrecidas, de modo que esta Sala está en aptitud de examinar la procedencia y la existencia de ese derecho y de condenar a su entrega, sin reenviar la solicitud a la autoridad.</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el artículo 151, fracción V, primer párrafo, de la Ley del Impuesto sobre la Renta permite deducir las aportaciones complementarias de retiro hechas directamente en la subcuenta correspondiente, con los topes de cuantía que ese mismo párrafo fija, entre ellos el diez por ciento de los ingresos acumulables del ejercicio; los requisitos del segundo párrafo y de la regla 3.17.5. de la Resolución Miscelánea Fiscal obligan a las instituciones administradoras; la parte actora cumplió lo que le tocaba y lo probó; y la autoridad negó la devolución por una omisión ajena.</w:t>
      </w:r>
    </w:p>
    <w:p>
      <w:pPr>
        <w:spacing w:line="360" w:lineRule="auto"/>
        <w:jc w:val="both"/>
      </w:pPr>
      <w:r>
        <w:rPr>
          <w:rFonts w:ascii="Arial" w:hAnsi="Arial"/>
          <w:b w:val="0"/>
          <w:i w:val="0"/>
          <w:sz w:val="28"/>
        </w:rPr>
        <w:t>Ese proceder actualiza la causal del artículo 51, fracción IV, de la Ley Federal de Procedimiento Contencioso Administrativo, porque la resolución se dictó en contravención de la disposición aplicada y dejó de aplicar la debida, e infringe los artículos 16, primer párrafo, y 31, fracción IV, de la Constitución, al imponer a la persona contribuyente una carga que ninguna ley le atribuye y al desconocer un derecho que la ley sí le reconoce.</w:t>
      </w:r>
    </w:p>
    <w:p>
      <w:pPr>
        <w:spacing w:line="360" w:lineRule="auto"/>
        <w:jc w:val="both"/>
      </w:pPr>
      <w:r>
        <w:rPr>
          <w:rFonts w:ascii="Arial" w:hAnsi="Arial"/>
          <w:b w:val="0"/>
          <w:i w:val="0"/>
          <w:sz w:val="28"/>
        </w:rPr>
        <w:t xml:space="preserve">Por lo expuesto, procede declarar fundado el presente concepto de impugnación y, con fundamento en los artículos 50, 51, fracción IV, y 52, fracciones II, inciso a), y V, inciso a), de la Ley Federal de Procedimiento Contencioso Administrativo, declarar la nulidad de la resolución impugnada y de la recurrida que le sirve de antecedente, reconocer a la parte actora el derecho subjetivo a la devolución del saldo a favor del ejercicio </w:t>
      </w:r>
      <w:r>
        <w:rPr>
          <w:rFonts w:ascii="Arial" w:hAnsi="Arial"/>
          <w:b/>
          <w:i w:val="0"/>
          <w:sz w:val="28"/>
        </w:rPr>
        <w:t>[EJERCICIO FISCAL]</w:t>
      </w:r>
      <w:r>
        <w:rPr>
          <w:rFonts w:ascii="Arial" w:hAnsi="Arial"/>
          <w:b w:val="0"/>
          <w:i w:val="0"/>
          <w:sz w:val="28"/>
        </w:rPr>
        <w:t xml:space="preserve"> y condenar a la autoridad a entregarlo con su actualización.</w:t>
      </w:r>
    </w:p>
    <w:p>
      <w:pPr>
        <w:spacing w:line="360" w:lineRule="auto"/>
        <w:jc w:val="both"/>
      </w:pPr>
      <w:r>
        <w:rPr>
          <w:rFonts w:ascii="Arial" w:hAnsi="Arial"/>
          <w:b w:val="0"/>
          <w:i w:val="0"/>
          <w:sz w:val="28"/>
        </w:rPr>
        <w:t xml:space="preserve">Para el caso de que esta Sala estime que el expediente no arroja elementos suficientes para condenar, se pide subsidiariamente la nulidad para el efecto de que la </w:t>
      </w:r>
      <w:r>
        <w:rPr>
          <w:rFonts w:ascii="Arial" w:hAnsi="Arial"/>
          <w:b/>
          <w:i w:val="0"/>
          <w:sz w:val="28"/>
        </w:rPr>
        <w:t>[AUTORIDAD DEMANDADA]</w:t>
      </w:r>
      <w:r>
        <w:rPr>
          <w:rFonts w:ascii="Arial" w:hAnsi="Arial"/>
          <w:b w:val="0"/>
          <w:i w:val="0"/>
          <w:sz w:val="28"/>
        </w:rPr>
        <w:t xml:space="preserve"> emita, dentro del plazo que señala el artículo 52 de la citada Ley, una nueva resolución debidamente fundada y motivada en la que autorice la devolución solicitada y su actualización, descontando la cantidad que ya hubiera sido reintegrada.</w:t>
      </w:r>
    </w:p>
    <w:p>
      <w:pPr>
        <w:spacing w:line="360" w:lineRule="auto"/>
        <w:jc w:val="both"/>
      </w:pPr>
      <w:r>
        <w:rPr>
          <w:rFonts w:ascii="Arial" w:hAnsi="Arial"/>
          <w:b w:val="0"/>
          <w:i w:val="0"/>
          <w:sz w:val="28"/>
        </w:rPr>
        <w:t>Se solicita el estudio preferente de este concepto, pues es el de mayor beneficio: su acogimiento no conduce a reponer un procedimiento, sino al reconocimiento del derecho y a la entrega de la cantidad indebidamente retenida, con lo que la controversia queda resuelta en su integridad y se evita un reenvío que sólo prolongaría la privación patrimonial que la parte actora resiente.</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LÓPEZ BELLO, Héctor, </w:t>
      </w:r>
      <w:r>
        <w:rPr>
          <w:rFonts w:ascii="Arial" w:hAnsi="Arial"/>
          <w:i/>
          <w:sz w:val="20"/>
        </w:rPr>
        <w:t>Manual de lógica formal para su empleo práctico en el derecho. Elementos de razonamiento lógico para la justicia administrativa</w:t>
      </w:r>
      <w:r>
        <w:rPr>
          <w:rFonts w:ascii="Arial" w:hAnsi="Arial"/>
          <w:i w:val="0"/>
          <w:sz w:val="20"/>
        </w:rPr>
        <w:t>, Tribunal Federal de Justicia Administrativa, México, 2018, p. 59.</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DEHESA DÁVILA, Gerardo, </w:t>
      </w:r>
      <w:r>
        <w:rPr>
          <w:rFonts w:ascii="Arial" w:hAnsi="Arial"/>
          <w:i/>
          <w:sz w:val="20"/>
        </w:rPr>
        <w:t>Introducción a la retórica y la argumentación. Elementos de retórica y argumentación para perfeccionar y optimizar el ejercicio de la función jurisdiccional</w:t>
      </w:r>
      <w:r>
        <w:rPr>
          <w:rFonts w:ascii="Arial" w:hAnsi="Arial"/>
          <w:i w:val="0"/>
          <w:sz w:val="20"/>
        </w:rPr>
        <w:t>, 6ª ed., Suprema Corte de Justicia de la Nación, Dirección General de la Coordinación de Compilación y Sistematización de Tesis, México, 2010, p. 564.</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 p. 150.</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GOMETZ, Gianmarco, </w:t>
      </w:r>
      <w:r>
        <w:rPr>
          <w:rFonts w:ascii="Arial" w:hAnsi="Arial"/>
          <w:i/>
          <w:sz w:val="20"/>
        </w:rPr>
        <w:t>La certeza jurídica como previsibilidad</w:t>
      </w:r>
      <w:r>
        <w:rPr>
          <w:rFonts w:ascii="Arial" w:hAnsi="Arial"/>
          <w:i w:val="0"/>
          <w:sz w:val="20"/>
        </w:rPr>
        <w:t>, trad. de Diego Moreno Cruz y Diego Dei Vecchi, Marcial Pons, Madrid, 2012, p. 115.</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64.</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 p. 72.</w:t>
      </w:r>
    </w:p>
    <w:p/>
    <w:p>
      <w:r>
        <w:rPr>
          <w:rFonts w:ascii="Arial" w:hAnsi="Arial"/>
          <w:b/>
          <w:sz w:val="22"/>
        </w:rPr>
        <w:t>BIBLIOGRAFÍA</w:t>
      </w:r>
    </w:p>
    <w:p>
      <w:pPr>
        <w:spacing w:after="60"/>
        <w:ind w:left="360" w:hanging="360"/>
        <w:jc w:val="both"/>
      </w:pP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w:t>
      </w:r>
    </w:p>
    <w:p>
      <w:pPr>
        <w:spacing w:after="60"/>
        <w:ind w:left="360" w:hanging="360"/>
        <w:jc w:val="both"/>
      </w:pPr>
      <w:r>
        <w:rPr>
          <w:rFonts w:ascii="Arial" w:hAnsi="Arial"/>
          <w:i w:val="0"/>
          <w:sz w:val="20"/>
        </w:rPr>
        <w:t xml:space="preserve">DEHESA DÁVILA, Gerardo, </w:t>
      </w:r>
      <w:r>
        <w:rPr>
          <w:rFonts w:ascii="Arial" w:hAnsi="Arial"/>
          <w:i/>
          <w:sz w:val="20"/>
        </w:rPr>
        <w:t>Introducción a la retórica y la argumentación. Elementos de retórica y argumentación para perfeccionar y optimizar el ejercicio de la función jurisdiccional</w:t>
      </w:r>
      <w:r>
        <w:rPr>
          <w:rFonts w:ascii="Arial" w:hAnsi="Arial"/>
          <w:i w:val="0"/>
          <w:sz w:val="20"/>
        </w:rPr>
        <w:t>, 6ª ed., Suprema Corte de Justicia de la Nación, Dirección General de la Coordinación de Compilación y Sistematización de Tesis, México, 2010.</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GOMETZ, Gianmarco, </w:t>
      </w:r>
      <w:r>
        <w:rPr>
          <w:rFonts w:ascii="Arial" w:hAnsi="Arial"/>
          <w:i/>
          <w:sz w:val="20"/>
        </w:rPr>
        <w:t>La certeza jurídica como previsibilidad</w:t>
      </w:r>
      <w:r>
        <w:rPr>
          <w:rFonts w:ascii="Arial" w:hAnsi="Arial"/>
          <w:i w:val="0"/>
          <w:sz w:val="20"/>
        </w:rPr>
        <w:t>, trad. de Diego Moreno Cruz y Diego Dei Vecchi, Marcial Pons, Madrid, 2012.</w:t>
      </w:r>
    </w:p>
    <w:p>
      <w:pPr>
        <w:spacing w:after="60"/>
        <w:ind w:left="360" w:hanging="360"/>
        <w:jc w:val="both"/>
      </w:pPr>
      <w:r>
        <w:rPr>
          <w:rFonts w:ascii="Arial" w:hAnsi="Arial"/>
          <w:i w:val="0"/>
          <w:sz w:val="20"/>
        </w:rPr>
        <w:t xml:space="preserve">LÓPEZ BELLO, Héctor, </w:t>
      </w:r>
      <w:r>
        <w:rPr>
          <w:rFonts w:ascii="Arial" w:hAnsi="Arial"/>
          <w:i/>
          <w:sz w:val="20"/>
        </w:rPr>
        <w:t>Manual de lógica formal para su empleo práctico en el derecho. Elementos de razonamiento lógico para la justicia administrativa</w:t>
      </w:r>
      <w:r>
        <w:rPr>
          <w:rFonts w:ascii="Arial" w:hAnsi="Arial"/>
          <w:i w:val="0"/>
          <w:sz w:val="20"/>
        </w:rPr>
        <w:t>, Tribunal Federal de Justicia Administrativa, México, 2018.</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