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NOTIFICACIÓN POR ESTRADOS ILEGAL Y CADUCIDAD DEL CRÉDITO FISCAL</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Inserta el machote como concepto de impugnación en tu demanda de nulidad ante la Sala Regional competente del TFJA (o en tu ampliación, si conociste las constancias de notificación con la contestación). Recuerda que la demanda se presenta dentro del plazo de treinta días previsto en el artículo 58-2, párrafo tercero, de la Ley Federal de Procedimiento Contencioso Administrativo. Antes de firmar, coteja cada afirmación con tu expediente y elimina lo que no coincida.</w:t>
      </w:r>
    </w:p>
    <w:p>
      <w:pPr>
        <w:spacing w:line="360" w:lineRule="auto"/>
        <w:jc w:val="both"/>
      </w:pPr>
      <w:r>
        <w:rPr>
          <w:rFonts w:ascii="Arial" w:hAnsi="Arial"/>
          <w:b/>
          <w:i w:val="0"/>
          <w:sz w:val="24"/>
        </w:rPr>
        <w:t>[NOMBRE O RAZÓN SOCIAL DE LA PARTE ACTORA]</w:t>
      </w:r>
      <w:r>
        <w:rPr>
          <w:rFonts w:ascii="Arial" w:hAnsi="Arial"/>
          <w:b w:val="0"/>
          <w:i w:val="0"/>
          <w:sz w:val="24"/>
        </w:rPr>
        <w:t>: la persona física o moral que demanda.</w:t>
      </w:r>
    </w:p>
    <w:p>
      <w:pPr>
        <w:spacing w:line="360" w:lineRule="auto"/>
        <w:jc w:val="both"/>
      </w:pPr>
      <w:r>
        <w:rPr>
          <w:rFonts w:ascii="Arial" w:hAnsi="Arial"/>
          <w:b/>
          <w:i w:val="0"/>
          <w:sz w:val="24"/>
        </w:rPr>
        <w:t>[AUTORIDAD DEMANDADA]</w:t>
      </w:r>
      <w:r>
        <w:rPr>
          <w:rFonts w:ascii="Arial" w:hAnsi="Arial"/>
          <w:b w:val="0"/>
          <w:i w:val="0"/>
          <w:sz w:val="24"/>
        </w:rPr>
        <w:t>: la autoridad que resolvió el recurso de revocación o emitió el acto.</w:t>
      </w:r>
    </w:p>
    <w:p>
      <w:pPr>
        <w:spacing w:line="360" w:lineRule="auto"/>
        <w:jc w:val="both"/>
      </w:pPr>
      <w:r>
        <w:rPr>
          <w:rFonts w:ascii="Arial" w:hAnsi="Arial"/>
          <w:b/>
          <w:i w:val="0"/>
          <w:sz w:val="24"/>
        </w:rPr>
        <w:t>[SALA REGIONAL COMPETENTE]</w:t>
      </w:r>
      <w:r>
        <w:rPr>
          <w:rFonts w:ascii="Arial" w:hAnsi="Arial"/>
          <w:b w:val="0"/>
          <w:i w:val="0"/>
          <w:sz w:val="24"/>
        </w:rPr>
        <w:t>: la Sala del TFJA a la que te diriges.</w:t>
      </w:r>
    </w:p>
    <w:p>
      <w:pPr>
        <w:spacing w:line="360" w:lineRule="auto"/>
        <w:jc w:val="both"/>
      </w:pPr>
      <w:r>
        <w:rPr>
          <w:rFonts w:ascii="Arial" w:hAnsi="Arial"/>
          <w:b/>
          <w:i w:val="0"/>
          <w:sz w:val="24"/>
        </w:rPr>
        <w:t>[NÚMERO DEL CRÉDITO FISCAL]</w:t>
      </w:r>
      <w:r>
        <w:rPr>
          <w:rFonts w:ascii="Arial" w:hAnsi="Arial"/>
          <w:b w:val="0"/>
          <w:i w:val="0"/>
          <w:sz w:val="24"/>
        </w:rPr>
        <w:t>: identificador del crédito que se cobra.</w:t>
      </w:r>
    </w:p>
    <w:p>
      <w:pPr>
        <w:spacing w:line="360" w:lineRule="auto"/>
        <w:jc w:val="both"/>
      </w:pPr>
      <w:r>
        <w:rPr>
          <w:rFonts w:ascii="Arial" w:hAnsi="Arial"/>
          <w:b/>
          <w:i w:val="0"/>
          <w:sz w:val="24"/>
        </w:rPr>
        <w:t>[NÚMERO DE OFICIO DE LA RESOLUCIÓN IMPUGNADA]</w:t>
      </w:r>
      <w:r>
        <w:rPr>
          <w:rFonts w:ascii="Arial" w:hAnsi="Arial"/>
          <w:b w:val="0"/>
          <w:i w:val="0"/>
          <w:sz w:val="24"/>
        </w:rPr>
        <w:t xml:space="preserve"> y </w:t>
      </w:r>
      <w:r>
        <w:rPr>
          <w:rFonts w:ascii="Arial" w:hAnsi="Arial"/>
          <w:b/>
          <w:i w:val="0"/>
          <w:sz w:val="24"/>
        </w:rPr>
        <w:t>[FECHA DE LA RESOLUCIÓN IMPUGNADA]</w:t>
      </w:r>
      <w:r>
        <w:rPr>
          <w:rFonts w:ascii="Arial" w:hAnsi="Arial"/>
          <w:b w:val="0"/>
          <w:i w:val="0"/>
          <w:sz w:val="24"/>
        </w:rPr>
        <w:t>: datos de la resolución recaída al recurso.</w:t>
      </w:r>
    </w:p>
    <w:p>
      <w:pPr>
        <w:spacing w:line="360" w:lineRule="auto"/>
        <w:jc w:val="both"/>
      </w:pPr>
      <w:r>
        <w:rPr>
          <w:rFonts w:ascii="Arial" w:hAnsi="Arial"/>
          <w:b/>
          <w:i w:val="0"/>
          <w:sz w:val="24"/>
        </w:rPr>
        <w:t>[FECHA DE NOTIFICACIÓN DE LA RESOLUCIÓN IMPUGNADA]</w:t>
      </w:r>
      <w:r>
        <w:rPr>
          <w:rFonts w:ascii="Arial" w:hAnsi="Arial"/>
          <w:b w:val="0"/>
          <w:i w:val="0"/>
          <w:sz w:val="24"/>
        </w:rPr>
        <w:t>: cuándo te notificaron esa resolución; de ahí corre tu plazo.</w:t>
      </w:r>
    </w:p>
    <w:p>
      <w:pPr>
        <w:spacing w:line="360" w:lineRule="auto"/>
        <w:jc w:val="both"/>
      </w:pPr>
      <w:r>
        <w:rPr>
          <w:rFonts w:ascii="Arial" w:hAnsi="Arial"/>
          <w:b/>
          <w:i w:val="0"/>
          <w:sz w:val="24"/>
        </w:rPr>
        <w:t>[NÚMERO DE OFICIO DE LA RESOLUCIÓN DETERMINANTE]</w:t>
      </w:r>
      <w:r>
        <w:rPr>
          <w:rFonts w:ascii="Arial" w:hAnsi="Arial"/>
          <w:b w:val="0"/>
          <w:i w:val="0"/>
          <w:sz w:val="24"/>
        </w:rPr>
        <w:t>: la liquidación que niegas conocer.</w:t>
      </w:r>
    </w:p>
    <w:p>
      <w:pPr>
        <w:spacing w:line="360" w:lineRule="auto"/>
        <w:jc w:val="both"/>
      </w:pPr>
      <w:r>
        <w:rPr>
          <w:rFonts w:ascii="Arial" w:hAnsi="Arial"/>
          <w:b/>
          <w:i w:val="0"/>
          <w:sz w:val="24"/>
        </w:rPr>
        <w:t>[FECHAS DE LAS ACTAS DE HECHOS]</w:t>
      </w:r>
      <w:r>
        <w:rPr>
          <w:rFonts w:ascii="Arial" w:hAnsi="Arial"/>
          <w:b w:val="0"/>
          <w:i w:val="0"/>
          <w:sz w:val="24"/>
        </w:rPr>
        <w:t>: fechas de las actas del notificador previas a los estrados.</w:t>
      </w:r>
    </w:p>
    <w:p>
      <w:pPr>
        <w:spacing w:line="360" w:lineRule="auto"/>
        <w:jc w:val="both"/>
      </w:pPr>
      <w:r>
        <w:rPr>
          <w:rFonts w:ascii="Arial" w:hAnsi="Arial"/>
          <w:b/>
          <w:i w:val="0"/>
          <w:sz w:val="24"/>
        </w:rPr>
        <w:t>[FECHA DE LA NOTIFICACIÓN POR ESTRADOS]</w:t>
      </w:r>
      <w:r>
        <w:rPr>
          <w:rFonts w:ascii="Arial" w:hAnsi="Arial"/>
          <w:b w:val="0"/>
          <w:i w:val="0"/>
          <w:sz w:val="24"/>
        </w:rPr>
        <w:t>: fecha en que la autoridad tuvo por hecha esa notificación.</w:t>
      </w:r>
    </w:p>
    <w:p>
      <w:pPr>
        <w:spacing w:line="360" w:lineRule="auto"/>
        <w:jc w:val="both"/>
      </w:pPr>
      <w:r>
        <w:rPr>
          <w:rFonts w:ascii="Arial" w:hAnsi="Arial"/>
          <w:b/>
          <w:i w:val="0"/>
          <w:sz w:val="24"/>
        </w:rPr>
        <w:t>[CORREO ELECTRÓNICO REGISTRADO ANTE EL SAT]</w:t>
      </w:r>
      <w:r>
        <w:rPr>
          <w:rFonts w:ascii="Arial" w:hAnsi="Arial"/>
          <w:b w:val="0"/>
          <w:i w:val="0"/>
          <w:sz w:val="24"/>
        </w:rPr>
        <w:t>: el medio de contacto que aparece en la constancia de situación fiscal.</w:t>
      </w:r>
    </w:p>
    <w:p>
      <w:pPr>
        <w:spacing w:line="360" w:lineRule="auto"/>
        <w:jc w:val="both"/>
      </w:pPr>
      <w:r>
        <w:rPr>
          <w:rFonts w:ascii="Arial" w:hAnsi="Arial"/>
          <w:b/>
          <w:i w:val="0"/>
          <w:sz w:val="24"/>
        </w:rPr>
        <w:t>[FECHA EN QUE SE DIO A CONOCER LA RESOLUCIÓN DETERMINANTE]</w:t>
      </w:r>
      <w:r>
        <w:rPr>
          <w:rFonts w:ascii="Arial" w:hAnsi="Arial"/>
          <w:b w:val="0"/>
          <w:i w:val="0"/>
          <w:sz w:val="24"/>
        </w:rPr>
        <w:t>: cuándo conociste realmente la liquidación (por ejemplo, con la contestación de demanda).</w:t>
      </w:r>
    </w:p>
    <w:p>
      <w:pPr>
        <w:spacing w:line="360" w:lineRule="auto"/>
        <w:jc w:val="both"/>
      </w:pPr>
      <w:r>
        <w:rPr>
          <w:rFonts w:ascii="Arial" w:hAnsi="Arial"/>
          <w:b/>
          <w:i w:val="0"/>
          <w:sz w:val="24"/>
        </w:rPr>
        <w:t>[FECHA DE NOTIFICACIÓN DEL OFICIO DE OBSERVACIONES]</w:t>
      </w:r>
      <w:r>
        <w:rPr>
          <w:rFonts w:ascii="Arial" w:hAnsi="Arial"/>
          <w:b w:val="0"/>
          <w:i w:val="0"/>
          <w:sz w:val="24"/>
        </w:rPr>
        <w:t xml:space="preserve"> y </w:t>
      </w:r>
      <w:r>
        <w:rPr>
          <w:rFonts w:ascii="Arial" w:hAnsi="Arial"/>
          <w:b/>
          <w:i w:val="0"/>
          <w:sz w:val="24"/>
        </w:rPr>
        <w:t>[FECHA EN QUE VENCIÓ EL PLAZO PARA DESVIRTUAR OBSERVACIONES]</w:t>
      </w:r>
      <w:r>
        <w:rPr>
          <w:rFonts w:ascii="Arial" w:hAnsi="Arial"/>
          <w:b w:val="0"/>
          <w:i w:val="0"/>
          <w:sz w:val="24"/>
        </w:rPr>
        <w:t>: datos de la revisión de gabinete que fijan el punto de partida del plazo para notificar la liquidación.</w:t>
      </w:r>
    </w:p>
    <w:p/>
    <w:p>
      <w:pPr>
        <w:spacing w:line="360" w:lineRule="auto"/>
        <w:jc w:val="both"/>
      </w:pPr>
      <w:r>
        <w:rPr>
          <w:rFonts w:ascii="Arial" w:hAnsi="Arial"/>
          <w:b/>
          <w:sz w:val="28"/>
        </w:rPr>
        <w:t>PRIMER CONCEPTO DE IMPUGNACIÓN. Ilegalidad de la notificación por estrados de la resolución determinante del crédito fiscal, por omisión del citatorio previsto en el artículo 137 del Código Fiscal de la Federación, que podía y debía comunicarse a través del buzón tributario habilitado; en consecuencia, la liquidación se dio a conocer fuera del plazo máximo del artículo 50 del propio código, por lo que procede declarar la nulidad lisa y llana con fundamento en los artículos 51, fracción IV, y 52, fracción II, de la Ley Federal de Procedimiento Contencioso Administrativo.</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Este concepto de impugnación demostrará que la resolución determinante del crédito fiscal </w:t>
      </w:r>
      <w:r>
        <w:rPr>
          <w:rFonts w:ascii="Arial" w:hAnsi="Arial"/>
          <w:b/>
          <w:i w:val="0"/>
          <w:sz w:val="28"/>
        </w:rPr>
        <w:t>[NÚMERO DEL CRÉDITO FISCAL]</w:t>
      </w:r>
      <w:r>
        <w:rPr>
          <w:rFonts w:ascii="Arial" w:hAnsi="Arial"/>
          <w:b w:val="0"/>
          <w:i w:val="0"/>
          <w:sz w:val="28"/>
        </w:rPr>
        <w:t xml:space="preserve"> nunca fue notificada conforme a derecho, pues la autoridad acudió a la vía excepcional de los estrados sin agotar el citatorio que ordena el artículo 137 del Código Fiscal de la Federación, a pesar de que la parte actora contaba con buzón tributario habilitado.</w:t>
      </w:r>
    </w:p>
    <w:p>
      <w:pPr>
        <w:spacing w:line="360" w:lineRule="auto"/>
        <w:jc w:val="both"/>
      </w:pPr>
      <w:r>
        <w:rPr>
          <w:rFonts w:ascii="Arial" w:hAnsi="Arial"/>
          <w:b w:val="0"/>
          <w:i w:val="0"/>
          <w:sz w:val="28"/>
        </w:rPr>
        <w:t>La consecuencia de ese proceder es doble: la notificación por estrados carece de todo soporte legal y, computado el conocimiento real del acto a la fecha en que efectivamente se dio a conocer, la liquidación se comunicó fuera del plazo máximo que fija el artículo 50 del mismo ordenamiento, con la sanción que ese precepto establece.</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cuya nulidad se demanda es la contenida en el oficio </w:t>
      </w:r>
      <w:r>
        <w:rPr>
          <w:rFonts w:ascii="Arial" w:hAnsi="Arial"/>
          <w:b/>
          <w:i w:val="0"/>
          <w:sz w:val="28"/>
        </w:rPr>
        <w:t>[NÚMERO DE OFICIO DE LA RESOLUCIÓN IMPUGNADA]</w:t>
      </w:r>
      <w:r>
        <w:rPr>
          <w:rFonts w:ascii="Arial" w:hAnsi="Arial"/>
          <w:b w:val="0"/>
          <w:i w:val="0"/>
          <w:sz w:val="28"/>
        </w:rPr>
        <w:t xml:space="preserve">, de fecha </w:t>
      </w:r>
      <w:r>
        <w:rPr>
          <w:rFonts w:ascii="Arial" w:hAnsi="Arial"/>
          <w:b/>
          <w:i w:val="0"/>
          <w:sz w:val="28"/>
        </w:rPr>
        <w:t>[FECHA DE LA RESOLUCIÓN IMPUGNADA]</w:t>
      </w:r>
      <w:r>
        <w:rPr>
          <w:rFonts w:ascii="Arial" w:hAnsi="Arial"/>
          <w:b w:val="0"/>
          <w:i w:val="0"/>
          <w:sz w:val="28"/>
        </w:rPr>
        <w:t xml:space="preserve">, por la que la </w:t>
      </w:r>
      <w:r>
        <w:rPr>
          <w:rFonts w:ascii="Arial" w:hAnsi="Arial"/>
          <w:b/>
          <w:i w:val="0"/>
          <w:sz w:val="28"/>
        </w:rPr>
        <w:t>[AUTORIDAD DEMANDADA]</w:t>
      </w:r>
      <w:r>
        <w:rPr>
          <w:rFonts w:ascii="Arial" w:hAnsi="Arial"/>
          <w:b w:val="0"/>
          <w:i w:val="0"/>
          <w:sz w:val="28"/>
        </w:rPr>
        <w:t xml:space="preserve"> resolvió el recurso de revocación interpuesto por </w:t>
      </w:r>
      <w:r>
        <w:rPr>
          <w:rFonts w:ascii="Arial" w:hAnsi="Arial"/>
          <w:b/>
          <w:i w:val="0"/>
          <w:sz w:val="28"/>
        </w:rPr>
        <w:t>[NOMBRE O RAZÓN SOCIAL DE LA PARTE ACTORA]</w:t>
      </w:r>
      <w:r>
        <w:rPr>
          <w:rFonts w:ascii="Arial" w:hAnsi="Arial"/>
          <w:b w:val="0"/>
          <w:i w:val="0"/>
          <w:sz w:val="28"/>
        </w:rPr>
        <w:t xml:space="preserve">, confirmó el mandamiento de ejecución girado para hacer efectivo el crédito fiscal </w:t>
      </w:r>
      <w:r>
        <w:rPr>
          <w:rFonts w:ascii="Arial" w:hAnsi="Arial"/>
          <w:b/>
          <w:i w:val="0"/>
          <w:sz w:val="28"/>
        </w:rPr>
        <w:t>[NÚMERO DEL CRÉDITO FISCAL]</w:t>
      </w:r>
      <w:r>
        <w:rPr>
          <w:rFonts w:ascii="Arial" w:hAnsi="Arial"/>
          <w:b w:val="0"/>
          <w:i w:val="0"/>
          <w:sz w:val="28"/>
        </w:rPr>
        <w:t xml:space="preserve"> y rechazó los planteamientos de la contribuyente.</w:t>
      </w:r>
    </w:p>
    <w:p>
      <w:pPr>
        <w:spacing w:line="360" w:lineRule="auto"/>
        <w:jc w:val="both"/>
      </w:pPr>
      <w:r>
        <w:rPr>
          <w:rFonts w:ascii="Arial" w:hAnsi="Arial"/>
          <w:b w:val="0"/>
          <w:i w:val="0"/>
          <w:sz w:val="28"/>
        </w:rPr>
        <w:t xml:space="preserve">Desde la instancia administrativa, y ahora ante esa </w:t>
      </w:r>
      <w:r>
        <w:rPr>
          <w:rFonts w:ascii="Arial" w:hAnsi="Arial"/>
          <w:b/>
          <w:i w:val="0"/>
          <w:sz w:val="28"/>
        </w:rPr>
        <w:t>[SALA REGIONAL COMPETENTE]</w:t>
      </w:r>
      <w:r>
        <w:rPr>
          <w:rFonts w:ascii="Arial" w:hAnsi="Arial"/>
          <w:b w:val="0"/>
          <w:i w:val="0"/>
          <w:sz w:val="28"/>
        </w:rPr>
        <w:t>, la parte actora ha negado lisa y llanamente conocer la resolución determinante de ese crédito, así como que le haya sido legalmente notificada.</w:t>
      </w:r>
    </w:p>
    <w:p>
      <w:pPr>
        <w:spacing w:line="360" w:lineRule="auto"/>
        <w:jc w:val="both"/>
      </w:pPr>
      <w:r>
        <w:rPr>
          <w:rFonts w:ascii="Arial" w:hAnsi="Arial"/>
          <w:b w:val="0"/>
          <w:i w:val="0"/>
          <w:sz w:val="28"/>
        </w:rPr>
        <w:t>El presente concepto se formula al amparo del principio de litis abierta. El artículo 1º, segundo párrafo, de la Ley Federal de Procedimiento Contencioso Administrativo dispone que, cuando la resolución recaída a un recurso administrativo no satisface el interés jurídico de quien lo promovió, se entiende que simultáneamente se impugna la resolución recurrida en la parte que continúa afectándole, pudiendo hacerse valer conceptos de impugnación no planteados en el recurso.</w:t>
      </w:r>
    </w:p>
    <w:p>
      <w:pPr>
        <w:spacing w:line="360" w:lineRule="auto"/>
        <w:jc w:val="both"/>
      </w:pPr>
      <w:r>
        <w:rPr>
          <w:rFonts w:ascii="Arial" w:hAnsi="Arial"/>
          <w:b w:val="0"/>
          <w:i w:val="0"/>
          <w:sz w:val="28"/>
        </w:rPr>
        <w:t>A su vez, el artículo 50 del mismo ordenamiento faculta a ese Tribunal a pronunciarse sobre la legalidad de la recurrida cuando cuenta con elementos suficientes para ello.</w:t>
      </w:r>
    </w:p>
    <w:p>
      <w:pPr>
        <w:spacing w:line="360" w:lineRule="auto"/>
        <w:jc w:val="both"/>
      </w:pPr>
      <w:r>
        <w:rPr>
          <w:rFonts w:ascii="Arial" w:hAnsi="Arial"/>
          <w:b w:val="0"/>
          <w:i w:val="0"/>
          <w:sz w:val="28"/>
        </w:rPr>
        <w:t>Conviene despejar desde ahora una objeción previsible. Si la autoridad plantea que el juicio es improcedente porque el crédito quedó firme al no impugnarse oportunamente, tal causal resulta inatendible: el acto controvertido de manera directa es la resolución recaída al recurso de revocación, y primero debe dilucidarse la legalidad de lo resuelto en esa instancia antes de emitir pronunciamiento alguno sobre el acto recurrido, como lo ha reconocido la Sala en casos análogos. La supuesta firmeza descansa, precisamente, en la notificación cuya validez aquí se destruye.</w:t>
      </w:r>
    </w:p>
    <w:p>
      <w:pPr>
        <w:spacing w:line="360" w:lineRule="auto"/>
        <w:jc w:val="both"/>
      </w:pPr>
      <w:r>
        <w:rPr>
          <w:rFonts w:ascii="Arial" w:hAnsi="Arial"/>
          <w:b w:val="0"/>
          <w:i w:val="0"/>
          <w:sz w:val="28"/>
        </w:rPr>
        <w:t>El perjuicio es directo e inmediato. Sobre la base de una notificación por estrados practicada sin sustento legal, la autoridad tuvo por firme una liquidación que su destinataria jamás conoció, desplegó el procedimiento económico-coactivo en su contra y desestimó su recurso; con ello vulneró los artículos 134, fracción I, y 137 del Código Fiscal de la Federación, así como la garantía de seguridad jurídica reconocida en el artículo 16 constitucional, que exige que todo acto de molestia se comunique a la persona afectada con las formalidades que la ley establece.</w:t>
      </w:r>
    </w:p>
    <w:p>
      <w:pPr>
        <w:spacing w:line="360" w:lineRule="auto"/>
        <w:jc w:val="both"/>
      </w:pPr>
      <w:r>
        <w:rPr>
          <w:rFonts w:ascii="Arial" w:hAnsi="Arial"/>
          <w:b/>
          <w:sz w:val="28"/>
        </w:rPr>
        <w:t>III. Desarrollo doctrinal: la premisa normativa.</w:t>
      </w:r>
    </w:p>
    <w:p>
      <w:pPr>
        <w:spacing w:line="360" w:lineRule="auto"/>
        <w:jc w:val="both"/>
      </w:pPr>
      <w:r>
        <w:rPr>
          <w:rFonts w:ascii="Arial" w:hAnsi="Arial"/>
          <w:b w:val="0"/>
          <w:i w:val="0"/>
          <w:sz w:val="28"/>
        </w:rPr>
        <w:t>El artículo 134, fracción I, del Código Fiscal de la Federación ordena que los citatorios, los requerimientos y los actos administrativos que puedan ser recurridos —como lo es toda resolución determinante de contribuciones omitidas— se notifiquen personalmente o por correo certificado o mensaje de datos con acuse de recibo en el buzón tributario. La notificación por estrados, prevista en la fracción III del mismo precepto, es una vía excepcional y subsidiaria, reservada para los supuestos en que la persona no sea localizable, desaparezca o se oponga a la diligencia de notificación.</w:t>
      </w:r>
    </w:p>
    <w:p>
      <w:pPr>
        <w:spacing w:line="360" w:lineRule="auto"/>
        <w:jc w:val="both"/>
      </w:pPr>
      <w:r>
        <w:rPr>
          <w:rFonts w:ascii="Arial" w:hAnsi="Arial"/>
          <w:b w:val="0"/>
          <w:i w:val="0"/>
          <w:sz w:val="28"/>
        </w:rPr>
        <w:t>El artículo 137 del propio código disciplina el puente entre la regla y la excepción: cuando el notificador no encuentra a la persona buscada debe dejarle citatorio en el domicilio fiscal, para que espere a una hora fija del día hábil posterior o acuda a notificarse a las oficinas de la autoridad, y el propio precepto faculta a la autoridad a comunicar ese citatorio a través del buzón tributario. Si la persona citada no espera, la diligencia se practica con quien se encuentre en el domicilio o, en su defecto, con un vecino, y sólo ante la negativa de éstos a recibir la notificación procede realizarla por medio del buzón.</w:t>
      </w:r>
    </w:p>
    <w:p>
      <w:pPr>
        <w:spacing w:line="360" w:lineRule="auto"/>
        <w:jc w:val="both"/>
      </w:pPr>
      <w:r>
        <w:rPr>
          <w:rFonts w:ascii="Arial" w:hAnsi="Arial"/>
          <w:b w:val="0"/>
          <w:i w:val="0"/>
          <w:sz w:val="28"/>
        </w:rPr>
        <w:t>El sistema se cierra con el artículo 17-K del código citado y con la regla de la Resolución Miscelánea Fiscal que la propia autoridad aplica en estos procedimientos: el buzón tributario queda habilitado cuando la persona contribuyente registra sus medios de contacto electrónicos, y únicamente cuando no lo hace —y por ello resulta materialmente imposible la comunicación electrónica— se actualiza la oposición a la diligencia que abre la puerta de los estrados. Dicho con claridad: mientras el buzón esté habilitado existe siempre un cauce legal previo a los estrados, y la autoridad no puede saltárselo.</w:t>
      </w:r>
    </w:p>
    <w:p>
      <w:pPr>
        <w:spacing w:line="360" w:lineRule="auto"/>
        <w:jc w:val="both"/>
      </w:pPr>
      <w:r>
        <w:rPr>
          <w:rFonts w:ascii="Arial" w:hAnsi="Arial"/>
          <w:b w:val="0"/>
          <w:i w:val="0"/>
          <w:sz w:val="28"/>
        </w:rPr>
        <w:t xml:space="preserve">Estas formalidades no son un ritual vacío. La doctrina explica que la exigencia de fundamentación y motivación de todo acto de molestia obliga a que en la constancia documental se expresen las normas, las razones y los motivos que constituyen su </w:t>
      </w:r>
      <w:r>
        <w:rPr>
          <w:rFonts w:ascii="Arial" w:hAnsi="Arial"/>
          <w:b w:val="0"/>
          <w:i/>
          <w:sz w:val="28"/>
        </w:rPr>
        <w:t>«causa legal»</w:t>
      </w:r>
      <w:r>
        <w:rPr>
          <w:rFonts w:ascii="Arial" w:hAnsi="Arial"/>
          <w:b w:val="0"/>
          <w:i w:val="0"/>
          <w:sz w:val="28"/>
        </w:rPr>
        <w:t>, precisamente para que ésta se manifieste a la persona a quien perjudica.</w:t>
      </w:r>
      <w:r>
        <w:rPr>
          <w:rFonts w:ascii="Arial" w:hAnsi="Arial"/>
          <w:vertAlign w:val="superscript"/>
        </w:rPr>
        <w:t>1</w:t>
      </w:r>
      <w:r>
        <w:rPr>
          <w:rFonts w:ascii="Arial" w:hAnsi="Arial"/>
          <w:b w:val="0"/>
          <w:i w:val="0"/>
          <w:sz w:val="28"/>
        </w:rPr>
        <w:t xml:space="preserve"> Una notificación practicada a espaldas de su destinataria vacía de contenido esa garantía: el acto existe en el expediente de la autoridad, pero jurídicamente no existe para quien debía combatirlo.</w:t>
      </w:r>
    </w:p>
    <w:p>
      <w:pPr>
        <w:spacing w:line="360" w:lineRule="auto"/>
        <w:jc w:val="both"/>
      </w:pPr>
      <w:r>
        <w:rPr>
          <w:rFonts w:ascii="Arial" w:hAnsi="Arial"/>
          <w:b w:val="0"/>
          <w:i w:val="0"/>
          <w:sz w:val="28"/>
        </w:rPr>
        <w:t xml:space="preserve">Conviene fijar el concepto que cierra el silogismo. La doctrina procesal recoge la definición de caducidad como la </w:t>
      </w:r>
      <w:r>
        <w:rPr>
          <w:rFonts w:ascii="Arial" w:hAnsi="Arial"/>
          <w:b w:val="0"/>
          <w:i/>
          <w:sz w:val="28"/>
        </w:rPr>
        <w:t>«extinción de una facultad o de una acción por el mero transcurso de un plazo configurado por la ley como carga para el ejercicio de aquellas»</w:t>
      </w:r>
      <w:r>
        <w:rPr>
          <w:rFonts w:ascii="Arial" w:hAnsi="Arial"/>
          <w:b w:val="0"/>
          <w:i w:val="0"/>
          <w:sz w:val="28"/>
        </w:rPr>
        <w:t>.</w:t>
      </w:r>
      <w:r>
        <w:rPr>
          <w:rFonts w:ascii="Arial" w:hAnsi="Arial"/>
          <w:vertAlign w:val="superscript"/>
        </w:rPr>
        <w:t>2</w:t>
      </w:r>
      <w:r>
        <w:rPr>
          <w:rFonts w:ascii="Arial" w:hAnsi="Arial"/>
          <w:b w:val="0"/>
          <w:i w:val="0"/>
          <w:sz w:val="28"/>
        </w:rPr>
        <w:t xml:space="preserve"> El artículo 50 del Código Fiscal de la Federación concreta esa carga: la resolución que determina contribuciones omitidas debe notificarse </w:t>
      </w:r>
      <w:r>
        <w:rPr>
          <w:rFonts w:ascii="Arial" w:hAnsi="Arial"/>
          <w:b w:val="0"/>
          <w:i/>
          <w:sz w:val="28"/>
        </w:rPr>
        <w:t>«dentro de un plazo máximo de seis meses»</w:t>
      </w:r>
      <w:r>
        <w:rPr>
          <w:rFonts w:ascii="Arial" w:hAnsi="Arial"/>
          <w:b w:val="0"/>
          <w:i w:val="0"/>
          <w:sz w:val="28"/>
        </w:rPr>
        <w:t xml:space="preserve">, y añade que, si la autoridad no la emite en ese plazo, </w:t>
      </w:r>
      <w:r>
        <w:rPr>
          <w:rFonts w:ascii="Arial" w:hAnsi="Arial"/>
          <w:b w:val="0"/>
          <w:i/>
          <w:sz w:val="28"/>
        </w:rPr>
        <w:t>«quedará sin efectos la orden y las actuaciones que se derivaron durante la visita o revisión de que se trate»</w:t>
      </w:r>
      <w:r>
        <w:rPr>
          <w:rFonts w:ascii="Arial" w:hAnsi="Arial"/>
          <w:b w:val="0"/>
          <w:i w:val="0"/>
          <w:sz w:val="28"/>
        </w:rPr>
        <w:t>.</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En el expediente administrativo constan las actas de hechos de </w:t>
      </w:r>
      <w:r>
        <w:rPr>
          <w:rFonts w:ascii="Arial" w:hAnsi="Arial"/>
          <w:b/>
          <w:i w:val="0"/>
          <w:sz w:val="28"/>
        </w:rPr>
        <w:t>[FECHAS DE LAS ACTAS DE HECHOS]</w:t>
      </w:r>
      <w:r>
        <w:rPr>
          <w:rFonts w:ascii="Arial" w:hAnsi="Arial"/>
          <w:b w:val="0"/>
          <w:i w:val="0"/>
          <w:sz w:val="28"/>
        </w:rPr>
        <w:t xml:space="preserve">, en las que el notificador asentó que se constituyó en el domicilio fiscal de la parte actora con el objeto de notificar la resolución determinante contenida en el oficio </w:t>
      </w:r>
      <w:r>
        <w:rPr>
          <w:rFonts w:ascii="Arial" w:hAnsi="Arial"/>
          <w:b/>
          <w:i w:val="0"/>
          <w:sz w:val="28"/>
        </w:rPr>
        <w:t>[NÚMERO DE OFICIO DE LA RESOLUCIÓN DETERMINANTE]</w:t>
      </w:r>
      <w:r>
        <w:rPr>
          <w:rFonts w:ascii="Arial" w:hAnsi="Arial"/>
          <w:b w:val="0"/>
          <w:i w:val="0"/>
          <w:sz w:val="28"/>
        </w:rPr>
        <w:t>; que el local se encontraba cerrado o atendido por personas ajenas, y que los terceros con quienes entendió las diligencias manifestaron no conocer a la contribuyente.</w:t>
      </w:r>
    </w:p>
    <w:p>
      <w:pPr>
        <w:spacing w:line="360" w:lineRule="auto"/>
        <w:jc w:val="both"/>
      </w:pPr>
      <w:r>
        <w:rPr>
          <w:rFonts w:ascii="Arial" w:hAnsi="Arial"/>
          <w:b w:val="0"/>
          <w:i w:val="0"/>
          <w:sz w:val="28"/>
        </w:rPr>
        <w:t xml:space="preserve">Sobre esa única base, la autoridad dictó el acuerdo de notificación por estrados y tuvo por comunicada la liquidación el </w:t>
      </w:r>
      <w:r>
        <w:rPr>
          <w:rFonts w:ascii="Arial" w:hAnsi="Arial"/>
          <w:b/>
          <w:i w:val="0"/>
          <w:sz w:val="28"/>
        </w:rPr>
        <w:t>[FECHA DE LA NOTIFICACIÓN POR ESTRADOS]</w:t>
      </w:r>
      <w:r>
        <w:rPr>
          <w:rFonts w:ascii="Arial" w:hAnsi="Arial"/>
          <w:b w:val="0"/>
          <w:i w:val="0"/>
          <w:sz w:val="28"/>
        </w:rPr>
        <w:t>.</w:t>
      </w:r>
    </w:p>
    <w:p>
      <w:pPr>
        <w:spacing w:line="360" w:lineRule="auto"/>
        <w:jc w:val="both"/>
      </w:pPr>
      <w:r>
        <w:rPr>
          <w:rFonts w:ascii="Arial" w:hAnsi="Arial"/>
          <w:b w:val="0"/>
          <w:i w:val="0"/>
          <w:sz w:val="28"/>
        </w:rPr>
        <w:t>En ninguna de esas actas consta que se haya dejado citatorio con el tercero o con un vecino, ni que la autoridad haya verificado en sus bases de datos si la contribuyente tenía habilitado el buzón tributario para comunicarle el citatorio por esa vía, como lo exige el artículo 137 citado. La secuencia que la ley impone —búsqueda en el domicilio, citatorio físico o electrónico, espera y, sólo entonces, en su caso, estrados— fue simplemente amputada: del fracaso de la diligencia personal se brincó de inmediato a la vía excepcional.</w:t>
      </w:r>
    </w:p>
    <w:p>
      <w:pPr>
        <w:spacing w:line="360" w:lineRule="auto"/>
        <w:jc w:val="both"/>
      </w:pPr>
      <w:r>
        <w:rPr>
          <w:rFonts w:ascii="Arial" w:hAnsi="Arial"/>
          <w:b w:val="0"/>
          <w:i w:val="0"/>
          <w:sz w:val="28"/>
        </w:rPr>
        <w:t>Ese proceder encierra la falacia conocida como non sequitur o de conclusión equivocada, denominación genérica de los argumentos en que la conclusión no se sigue de las premisas.</w:t>
      </w:r>
      <w:r>
        <w:rPr>
          <w:rFonts w:ascii="Arial" w:hAnsi="Arial"/>
          <w:vertAlign w:val="superscript"/>
        </w:rPr>
        <w:t>3</w:t>
      </w:r>
      <w:r>
        <w:rPr>
          <w:rFonts w:ascii="Arial" w:hAnsi="Arial"/>
          <w:b w:val="0"/>
          <w:i w:val="0"/>
          <w:sz w:val="28"/>
        </w:rPr>
        <w:t xml:space="preserve"> De las premisas </w:t>
      </w:r>
      <w:r>
        <w:rPr>
          <w:rFonts w:ascii="Arial" w:hAnsi="Arial"/>
          <w:b w:val="0"/>
          <w:i/>
          <w:sz w:val="28"/>
        </w:rPr>
        <w:t>«el local estaba cerrado»</w:t>
      </w:r>
      <w:r>
        <w:rPr>
          <w:rFonts w:ascii="Arial" w:hAnsi="Arial"/>
          <w:b w:val="0"/>
          <w:i w:val="0"/>
          <w:sz w:val="28"/>
        </w:rPr>
        <w:t xml:space="preserve"> y </w:t>
      </w:r>
      <w:r>
        <w:rPr>
          <w:rFonts w:ascii="Arial" w:hAnsi="Arial"/>
          <w:b w:val="0"/>
          <w:i/>
          <w:sz w:val="28"/>
        </w:rPr>
        <w:t>«el tercero dijo no conocer a la empresa»</w:t>
      </w:r>
      <w:r>
        <w:rPr>
          <w:rFonts w:ascii="Arial" w:hAnsi="Arial"/>
          <w:b w:val="0"/>
          <w:i w:val="0"/>
          <w:sz w:val="28"/>
        </w:rPr>
        <w:t xml:space="preserve"> no se sigue la conclusión </w:t>
      </w:r>
      <w:r>
        <w:rPr>
          <w:rFonts w:ascii="Arial" w:hAnsi="Arial"/>
          <w:b w:val="0"/>
          <w:i/>
          <w:sz w:val="28"/>
        </w:rPr>
        <w:t>«procede notificar por estrados»</w:t>
      </w:r>
      <w:r>
        <w:rPr>
          <w:rFonts w:ascii="Arial" w:hAnsi="Arial"/>
          <w:b w:val="0"/>
          <w:i w:val="0"/>
          <w:sz w:val="28"/>
        </w:rPr>
        <w:t>: entre unas y otra falta el eslabón que la ley exige, esto es, el citatorio, que en el caso podía y debía entregarse a través del buzón tributario habilitado. La conclusión sólo se sostiene suprimiendo un requisito legal, y suprimir un requisito no es motivar.</w:t>
      </w:r>
    </w:p>
    <w:p>
      <w:pPr>
        <w:spacing w:line="360" w:lineRule="auto"/>
        <w:jc w:val="both"/>
      </w:pPr>
      <w:r>
        <w:rPr>
          <w:rFonts w:ascii="Arial" w:hAnsi="Arial"/>
          <w:b w:val="0"/>
          <w:i w:val="0"/>
          <w:sz w:val="28"/>
        </w:rPr>
        <w:t xml:space="preserve">Al contestar, la autoridad suele defenderse con una disyuntiva: o la notificación personal era posible, o procedían los estrados. Ese planteamiento configura un falso dilema, pues reduce las opciones </w:t>
      </w:r>
      <w:r>
        <w:rPr>
          <w:rFonts w:ascii="Arial" w:hAnsi="Arial"/>
          <w:b w:val="0"/>
          <w:i/>
          <w:sz w:val="28"/>
        </w:rPr>
        <w:t>«sólo a dos, drásticamente opuestas»</w:t>
      </w:r>
      <w:r>
        <w:rPr>
          <w:rFonts w:ascii="Arial" w:hAnsi="Arial"/>
          <w:b w:val="0"/>
          <w:i w:val="0"/>
          <w:sz w:val="28"/>
        </w:rPr>
        <w:t>, ocultando la información que sustentaría otras alternativas.</w:t>
      </w:r>
      <w:r>
        <w:rPr>
          <w:rFonts w:ascii="Arial" w:hAnsi="Arial"/>
          <w:vertAlign w:val="superscript"/>
        </w:rPr>
        <w:t>4</w:t>
      </w:r>
      <w:r>
        <w:rPr>
          <w:rFonts w:ascii="Arial" w:hAnsi="Arial"/>
          <w:b w:val="0"/>
          <w:i w:val="0"/>
          <w:sz w:val="28"/>
        </w:rPr>
        <w:t xml:space="preserve"> El dilema es falso porque sus términos no son exhaustivos, y basta que se descubra una tercera vía para que la disyuntiva se derrumbe.</w:t>
      </w:r>
      <w:r>
        <w:rPr>
          <w:rFonts w:ascii="Arial" w:hAnsi="Arial"/>
          <w:vertAlign w:val="superscript"/>
        </w:rPr>
        <w:t>5</w:t>
      </w:r>
      <w:r>
        <w:rPr>
          <w:rFonts w:ascii="Arial" w:hAnsi="Arial"/>
          <w:b w:val="0"/>
          <w:i w:val="0"/>
          <w:sz w:val="28"/>
        </w:rPr>
        <w:t xml:space="preserve"> La tercera vía está escrita en el propio artículo 137: el citatorio comunicado por buzón tributario.</w:t>
      </w:r>
    </w:p>
    <w:p>
      <w:pPr>
        <w:spacing w:line="360" w:lineRule="auto"/>
        <w:jc w:val="both"/>
      </w:pPr>
      <w:r>
        <w:rPr>
          <w:rFonts w:ascii="Arial" w:hAnsi="Arial"/>
          <w:b w:val="0"/>
          <w:i w:val="0"/>
          <w:sz w:val="28"/>
        </w:rPr>
        <w:t xml:space="preserve">Tampoco puede la autoridad desplazar hacia la parte actora la carga de acreditar que su buzón estaba habilitado. Frente a la negativa lisa y llana de conocer la resolución determinante y su notificación, corresponde a la enjuiciada exhibir las constancias que demuestren la legalidad de sus diligencias; pretender lo contrario es una artimaña para eludir la carga de la prueba, entendida como </w:t>
      </w:r>
      <w:r>
        <w:rPr>
          <w:rFonts w:ascii="Arial" w:hAnsi="Arial"/>
          <w:b w:val="0"/>
          <w:i/>
          <w:sz w:val="28"/>
        </w:rPr>
        <w:t>«la obligación de aportar datos que sostengan nuestras afirmaciones»</w:t>
      </w:r>
      <w:r>
        <w:rPr>
          <w:rFonts w:ascii="Arial" w:hAnsi="Arial"/>
          <w:b w:val="0"/>
          <w:i w:val="0"/>
          <w:sz w:val="28"/>
        </w:rPr>
        <w:t>.</w:t>
      </w:r>
      <w:r>
        <w:rPr>
          <w:rFonts w:ascii="Arial" w:hAnsi="Arial"/>
          <w:vertAlign w:val="superscript"/>
        </w:rPr>
        <w:t>6</w:t>
      </w:r>
      <w:r>
        <w:rPr>
          <w:rFonts w:ascii="Arial" w:hAnsi="Arial"/>
          <w:b w:val="0"/>
          <w:i w:val="0"/>
          <w:sz w:val="28"/>
        </w:rPr>
        <w:t xml:space="preserve"> Quien afirma haber notificado legalmente debe probarlo; quien niega conocer el acto nada tiene que demostrar.</w:t>
      </w:r>
    </w:p>
    <w:p>
      <w:pPr>
        <w:spacing w:line="360" w:lineRule="auto"/>
        <w:jc w:val="both"/>
      </w:pPr>
      <w:r>
        <w:rPr>
          <w:rFonts w:ascii="Arial" w:hAnsi="Arial"/>
          <w:b w:val="0"/>
          <w:i w:val="0"/>
          <w:sz w:val="28"/>
        </w:rPr>
        <w:t>A ello se suma el mandato de los artículos 14, fracción V, 19 y 45 de la Ley Federal de Procedimiento Contencioso Administrativo: la parte actora ofreció como prueba el expediente administrativo y señaló expresamente que debía contener la constancia de funcionamiento del buzón tributario; si la autoridad lo exhibe incompleto, deben tenerse por ciertos los hechos que con ese documento se pretendían acreditar.</w:t>
      </w:r>
    </w:p>
    <w:p>
      <w:pPr>
        <w:spacing w:line="360" w:lineRule="auto"/>
        <w:jc w:val="both"/>
      </w:pPr>
      <w:r>
        <w:rPr>
          <w:rFonts w:ascii="Arial" w:hAnsi="Arial"/>
          <w:b w:val="0"/>
          <w:i w:val="0"/>
          <w:sz w:val="28"/>
        </w:rPr>
        <w:t xml:space="preserve">Además, la constancia de situación fiscal que obra en autos registra el correo electrónico </w:t>
      </w:r>
      <w:r>
        <w:rPr>
          <w:rFonts w:ascii="Arial" w:hAnsi="Arial"/>
          <w:b/>
          <w:i w:val="0"/>
          <w:sz w:val="28"/>
        </w:rPr>
        <w:t>[CORREO ELECTRÓNICO REGISTRADO ANTE EL SAT]</w:t>
      </w:r>
      <w:r>
        <w:rPr>
          <w:rFonts w:ascii="Arial" w:hAnsi="Arial"/>
          <w:b w:val="0"/>
          <w:i w:val="0"/>
          <w:sz w:val="28"/>
        </w:rPr>
        <w:t xml:space="preserve"> como medio de contacto, de lo que se infiere que el requisito de registrar un medio de comunicación electrónico estaba satisfecho antes de que se ordenaran los estrados.</w:t>
      </w:r>
    </w:p>
    <w:p>
      <w:pPr>
        <w:spacing w:line="360" w:lineRule="auto"/>
        <w:jc w:val="both"/>
      </w:pPr>
      <w:r>
        <w:rPr>
          <w:rFonts w:ascii="Arial" w:hAnsi="Arial"/>
          <w:b w:val="0"/>
          <w:i w:val="0"/>
          <w:sz w:val="28"/>
        </w:rPr>
        <w:t xml:space="preserve">No es obstáculo que las actas circunstanciadas sean documentos públicos: su valor probatorio alcanza a lo que el notificador asentó, pero no subsana lo que omitió. El vicio que aquí se denuncia no es de fe pública, sino de procedimiento: las actas mismas evidencian que jamás se dejó citatorio ni se acudió al buzón tributario, de modo que, lejos de sostener la legalidad de los estrados, esas constancias la desmienten y privan de soporte legal a la notificación de </w:t>
      </w:r>
      <w:r>
        <w:rPr>
          <w:rFonts w:ascii="Arial" w:hAnsi="Arial"/>
          <w:b/>
          <w:i w:val="0"/>
          <w:sz w:val="28"/>
        </w:rPr>
        <w:t>[FECHA DE LA NOTIFICACIÓN POR ESTRADOS]</w:t>
      </w:r>
      <w:r>
        <w:rPr>
          <w:rFonts w:ascii="Arial" w:hAnsi="Arial"/>
          <w:b w:val="0"/>
          <w:i w:val="0"/>
          <w:sz w:val="28"/>
        </w:rPr>
        <w:t>.</w:t>
      </w:r>
    </w:p>
    <w:p>
      <w:pPr>
        <w:spacing w:line="360" w:lineRule="auto"/>
        <w:jc w:val="both"/>
      </w:pPr>
      <w:r>
        <w:rPr>
          <w:rFonts w:ascii="Arial" w:hAnsi="Arial"/>
          <w:b w:val="0"/>
          <w:i w:val="0"/>
          <w:sz w:val="28"/>
        </w:rPr>
        <w:t xml:space="preserve">La consecuencia de la ilegalidad es demoledora. Si la notificación por estrados carece de sustento, la parte actora sólo puede tenerse por conocedora de la resolución determinante en la fecha en que la autoridad se la dio a conocer efectivamente, esto es, el </w:t>
      </w:r>
      <w:r>
        <w:rPr>
          <w:rFonts w:ascii="Arial" w:hAnsi="Arial"/>
          <w:b/>
          <w:i w:val="0"/>
          <w:sz w:val="28"/>
        </w:rPr>
        <w:t>[FECHA EN QUE SE DIO A CONOCER LA RESOLUCIÓN DETERMINANTE]</w:t>
      </w:r>
      <w:r>
        <w:rPr>
          <w:rFonts w:ascii="Arial" w:hAnsi="Arial"/>
          <w:b w:val="0"/>
          <w:i w:val="0"/>
          <w:sz w:val="28"/>
        </w:rPr>
        <w:t>.</w:t>
      </w:r>
    </w:p>
    <w:p>
      <w:pPr>
        <w:spacing w:line="360" w:lineRule="auto"/>
        <w:jc w:val="both"/>
      </w:pPr>
      <w:r>
        <w:rPr>
          <w:rFonts w:ascii="Arial" w:hAnsi="Arial"/>
          <w:b w:val="0"/>
          <w:i w:val="0"/>
          <w:sz w:val="28"/>
        </w:rPr>
        <w:t xml:space="preserve">Y si el oficio de observaciones se notificó el </w:t>
      </w:r>
      <w:r>
        <w:rPr>
          <w:rFonts w:ascii="Arial" w:hAnsi="Arial"/>
          <w:b/>
          <w:i w:val="0"/>
          <w:sz w:val="28"/>
        </w:rPr>
        <w:t>[FECHA DE NOTIFICACIÓN DEL OFICIO DE OBSERVACIONES]</w:t>
      </w:r>
      <w:r>
        <w:rPr>
          <w:rFonts w:ascii="Arial" w:hAnsi="Arial"/>
          <w:b w:val="0"/>
          <w:i w:val="0"/>
          <w:sz w:val="28"/>
        </w:rPr>
        <w:t xml:space="preserve">, el plazo para desvirtuar las irregularidades previsto en el artículo 48, fracción VI, del Código Fiscal de la Federación venció el </w:t>
      </w:r>
      <w:r>
        <w:rPr>
          <w:rFonts w:ascii="Arial" w:hAnsi="Arial"/>
          <w:b/>
          <w:i w:val="0"/>
          <w:sz w:val="28"/>
        </w:rPr>
        <w:t>[FECHA EN QUE VENCIÓ EL PLAZO PARA DESVIRTUAR OBSERVACIONES]</w:t>
      </w:r>
      <w:r>
        <w:rPr>
          <w:rFonts w:ascii="Arial" w:hAnsi="Arial"/>
          <w:b w:val="0"/>
          <w:i w:val="0"/>
          <w:sz w:val="28"/>
        </w:rPr>
        <w:t>, momento a partir del cual corrió el término máximo del artículo 50 para notificar la liquidación.</w:t>
      </w:r>
    </w:p>
    <w:p>
      <w:pPr>
        <w:spacing w:line="360" w:lineRule="auto"/>
        <w:jc w:val="both"/>
      </w:pPr>
      <w:r>
        <w:rPr>
          <w:rFonts w:ascii="Arial" w:hAnsi="Arial"/>
          <w:b w:val="0"/>
          <w:i w:val="0"/>
          <w:sz w:val="28"/>
        </w:rPr>
        <w:t xml:space="preserve">Entre el vencimiento de aquel término y la fecha del conocimiento real de la resolución determinante media un lapso que rebasa con mucho el máximo legal, por lo que se actualiza la sanción que el propio artículo 50 establece: </w:t>
      </w:r>
      <w:r>
        <w:rPr>
          <w:rFonts w:ascii="Arial" w:hAnsi="Arial"/>
          <w:b w:val="0"/>
          <w:i/>
          <w:sz w:val="28"/>
        </w:rPr>
        <w:t>«quedará sin efectos la orden y las actuaciones que se derivaron durante la visita o revisión de que se trate»</w:t>
      </w:r>
      <w:r>
        <w:rPr>
          <w:rFonts w:ascii="Arial" w:hAnsi="Arial"/>
          <w:b w:val="0"/>
          <w:i w:val="0"/>
          <w:sz w:val="28"/>
        </w:rPr>
        <w:t>.</w:t>
      </w:r>
    </w:p>
    <w:p>
      <w:pPr>
        <w:spacing w:line="360" w:lineRule="auto"/>
        <w:jc w:val="both"/>
      </w:pPr>
      <w:r>
        <w:rPr>
          <w:rFonts w:ascii="Arial" w:hAnsi="Arial"/>
          <w:b w:val="0"/>
          <w:i w:val="0"/>
          <w:sz w:val="28"/>
        </w:rPr>
        <w:t>Las facultades de la autoridad para determinar y comunicar el crédito se extinguieron por el mero transcurso del plazo, en los términos de la definición doctrinal ya citada, sin que la pérdida de esa facultad requiera demostración de un perjuicio adicional: la caducidad opera por ministerio de ley.</w:t>
      </w:r>
    </w:p>
    <w:p>
      <w:pPr>
        <w:spacing w:line="360" w:lineRule="auto"/>
        <w:jc w:val="both"/>
      </w:pPr>
      <w:r>
        <w:rPr>
          <w:rFonts w:ascii="Arial" w:hAnsi="Arial"/>
          <w:b w:val="0"/>
          <w:i w:val="0"/>
          <w:sz w:val="28"/>
        </w:rPr>
        <w:t>La nulidad debe alcanzar todo lo actuado sobre esa base viciada: la resolución determinante jamás notificada legalmente, la resolución recaída al recurso de revocación que la confirmó y los actos del procedimiento administrativo de ejecución, pues todos constituyen frutos de actuaciones ilegales de origen. Sostener cualquiera de ellos equivaldría a premiar a la autoridad por su propia omisión y a consolidar la violación a la seguridad y certeza jurídicas que el artículo 16 constitucional garantiza a la parte actora.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notificación por estrados de la resolución determinante es ilegal porque se practicó sin agotar el citatorio del artículo 137 del Código Fiscal de la Federación, pese a que la contribuyente contaba con buzón tributario habilitado y con medios de contacto registrados; esa ilegalidad traslada el conocimiento del crédito a la fecha en que realmente se dio a conocer, fuera del plazo máximo del artículo 50 del mismo código, y la consecuencia legal es que la orden y todas las actuaciones derivadas quedaron sin efectos.</w:t>
      </w:r>
    </w:p>
    <w:p>
      <w:pPr>
        <w:spacing w:line="360" w:lineRule="auto"/>
        <w:jc w:val="both"/>
      </w:pPr>
      <w:r>
        <w:rPr>
          <w:rFonts w:ascii="Arial" w:hAnsi="Arial"/>
          <w:b w:val="0"/>
          <w:i w:val="0"/>
          <w:sz w:val="28"/>
        </w:rPr>
        <w:t>Se actualiza así la causal de ilegalidad del artículo 51, fracción IV, de la Ley Federal de Procedimiento Contencioso Administrativo, pues los hechos que motivaron la resolución se apreciaron de forma equivocada y aquélla se dictó en contravención de las disposiciones aplicadas.</w:t>
      </w:r>
    </w:p>
    <w:p>
      <w:pPr>
        <w:spacing w:line="360" w:lineRule="auto"/>
        <w:jc w:val="both"/>
      </w:pPr>
      <w:r>
        <w:rPr>
          <w:rFonts w:ascii="Arial" w:hAnsi="Arial"/>
          <w:b w:val="0"/>
          <w:i w:val="0"/>
          <w:sz w:val="28"/>
        </w:rPr>
        <w:t xml:space="preserve">Por lo expuesto, se solicita a esa </w:t>
      </w:r>
      <w:r>
        <w:rPr>
          <w:rFonts w:ascii="Arial" w:hAnsi="Arial"/>
          <w:b/>
          <w:i w:val="0"/>
          <w:sz w:val="28"/>
        </w:rPr>
        <w:t>[SALA REGIONAL COMPETENTE]</w:t>
      </w:r>
      <w:r>
        <w:rPr>
          <w:rFonts w:ascii="Arial" w:hAnsi="Arial"/>
          <w:b w:val="0"/>
          <w:i w:val="0"/>
          <w:sz w:val="28"/>
        </w:rPr>
        <w:t xml:space="preserve"> declarar la nulidad lisa y llana de la resolución impugnada, de la resolución determinante originalmente recurrida y de los actos de ejecución emitidos para su cobro, con fundamento en los artículos 50, 51, fracción IV, y 52, fracción II, de la Ley Federal de Procedimiento Contencioso Administrativo. Se hace notar que la presente demanda se presenta dentro del plazo de treinta días previsto en el artículo 58-2, párrafo tercero, de la propia ley, contado a partir del </w:t>
      </w:r>
      <w:r>
        <w:rPr>
          <w:rFonts w:ascii="Arial" w:hAnsi="Arial"/>
          <w:b/>
          <w:i w:val="0"/>
          <w:sz w:val="28"/>
        </w:rPr>
        <w:t>[FECHA DE NOTIFICACIÓN DE LA RESOLUCIÓN IMPUGNADA]</w:t>
      </w:r>
      <w:r>
        <w:rPr>
          <w:rFonts w:ascii="Arial" w:hAnsi="Arial"/>
          <w:b w:val="0"/>
          <w:i w:val="0"/>
          <w:sz w:val="28"/>
        </w:rPr>
        <w:t>.</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68.</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189.</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64.</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39.</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33.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12.</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