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ANTE EL TFJA. DESCONOCIMIENTO DE UNA RESOLUCIÓN INDIVIDUAL FAVORABLE</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Este machote es un concepto de impugnación de fondo para una demanda de nulidad ante el Tribunal Federal de Justicia Administrativa. Va colocado en el apartado de conceptos de impugnación y, por su alcance, conviene presentarlo como el primero, pidiendo su estudio preferente por mayor beneficio. Antes de rellenarlo, ten a la mano tres documentos: el escrito de consulta con sus anexos, el oficio de respuesta favorable y la resolución que ahora impugnas.</w:t>
      </w:r>
    </w:p>
    <w:p>
      <w:pPr>
        <w:spacing w:line="360" w:lineRule="auto"/>
        <w:jc w:val="both"/>
      </w:pPr>
      <w:r>
        <w:rPr>
          <w:rFonts w:ascii="Arial" w:hAnsi="Arial"/>
          <w:b w:val="0"/>
          <w:i w:val="0"/>
          <w:sz w:val="24"/>
        </w:rPr>
        <w:t>Pasos: primero verifica que el oficio favorable resuelva una situación real y concreta y no sea un simple acuse; segundo, arma la prueba de las tres condicionantes con los documentos que acompañaste a la consulta; tercero, transcribe con fidelidad el razonamiento de la autoridad para poder refutarlo; cuarto, ofrece las documentales públicas y precisa la foja o el anexo en que obran; quinto, revisa que la demanda se presente dentro del plazo legal contado desde la notificación.</w:t>
      </w:r>
    </w:p>
    <w:p>
      <w:pPr>
        <w:spacing w:line="360" w:lineRule="auto"/>
        <w:jc w:val="both"/>
      </w:pPr>
      <w:r>
        <w:rPr>
          <w:rFonts w:ascii="Arial" w:hAnsi="Arial"/>
          <w:b w:val="0"/>
          <w:i w:val="0"/>
          <w:sz w:val="24"/>
        </w:rPr>
        <w:t>Campos editables:</w:t>
      </w:r>
    </w:p>
    <w:p>
      <w:pPr>
        <w:spacing w:line="360" w:lineRule="auto"/>
        <w:jc w:val="both"/>
      </w:pPr>
      <w:r>
        <w:rPr>
          <w:rFonts w:ascii="Arial" w:hAnsi="Arial"/>
          <w:b w:val="0"/>
          <w:i w:val="0"/>
          <w:sz w:val="24"/>
        </w:rPr>
        <w:t>NÚMERO ORDINAL DEL CONCEPTO: PRIMERO, SEGUNDO, según el lugar que ocupe en tu demanda.</w:t>
      </w:r>
    </w:p>
    <w:p>
      <w:pPr>
        <w:spacing w:line="360" w:lineRule="auto"/>
        <w:jc w:val="both"/>
      </w:pPr>
      <w:r>
        <w:rPr>
          <w:rFonts w:ascii="Arial" w:hAnsi="Arial"/>
          <w:b w:val="0"/>
          <w:i w:val="0"/>
          <w:sz w:val="24"/>
        </w:rPr>
        <w:t>NOMBRE DE LA PARTE ACTORA: denominación o razón social tal como aparece en el instrumento con que acreditas la personalidad.</w:t>
      </w:r>
    </w:p>
    <w:p>
      <w:pPr>
        <w:spacing w:line="360" w:lineRule="auto"/>
        <w:jc w:val="both"/>
      </w:pPr>
      <w:r>
        <w:rPr>
          <w:rFonts w:ascii="Arial" w:hAnsi="Arial"/>
          <w:b w:val="0"/>
          <w:i w:val="0"/>
          <w:sz w:val="24"/>
        </w:rPr>
        <w:t>AUTORIDAD DEMANDADA: la que emitió la resolución impugnada, con su denominación completa y su adscripción.</w:t>
      </w:r>
    </w:p>
    <w:p>
      <w:pPr>
        <w:spacing w:line="360" w:lineRule="auto"/>
        <w:jc w:val="both"/>
      </w:pPr>
      <w:r>
        <w:rPr>
          <w:rFonts w:ascii="Arial" w:hAnsi="Arial"/>
          <w:b w:val="0"/>
          <w:i w:val="0"/>
          <w:sz w:val="24"/>
        </w:rPr>
        <w:t>FECHA DE LA RESOLUCIÓN IMPUGNADA: la fecha del acto que combates, tal como aparece en él.</w:t>
      </w:r>
    </w:p>
    <w:p>
      <w:pPr>
        <w:spacing w:line="360" w:lineRule="auto"/>
        <w:jc w:val="both"/>
      </w:pPr>
      <w:r>
        <w:rPr>
          <w:rFonts w:ascii="Arial" w:hAnsi="Arial"/>
          <w:b w:val="0"/>
          <w:i w:val="0"/>
          <w:sz w:val="24"/>
        </w:rPr>
        <w:t>FECHA DE NOTIFICACIÓN DE LA RESOLUCIÓN IMPUGNADA: la del acta o constancia de notificación, para acreditar la oportunidad.</w:t>
      </w:r>
    </w:p>
    <w:p>
      <w:pPr>
        <w:spacing w:line="360" w:lineRule="auto"/>
        <w:jc w:val="both"/>
      </w:pPr>
      <w:r>
        <w:rPr>
          <w:rFonts w:ascii="Arial" w:hAnsi="Arial"/>
          <w:b w:val="0"/>
          <w:i w:val="0"/>
          <w:sz w:val="24"/>
        </w:rPr>
        <w:t>PERIODO O EJERCICIOS QUE ABARCA LA RESOLUCIÓN IMPUGNADA: los periodos anuales cuyas primas se rectificaron.</w:t>
      </w:r>
    </w:p>
    <w:p>
      <w:pPr>
        <w:spacing w:line="360" w:lineRule="auto"/>
        <w:jc w:val="both"/>
      </w:pPr>
      <w:r>
        <w:rPr>
          <w:rFonts w:ascii="Arial" w:hAnsi="Arial"/>
          <w:b w:val="0"/>
          <w:i w:val="0"/>
          <w:sz w:val="24"/>
        </w:rPr>
        <w:t>FECHA DEL ESCRITO DE CONSULTA O SOLICITUD: la del escrito con que planteaste la situación real y concreta.</w:t>
      </w:r>
    </w:p>
    <w:p>
      <w:pPr>
        <w:spacing w:line="360" w:lineRule="auto"/>
        <w:jc w:val="both"/>
      </w:pPr>
      <w:r>
        <w:rPr>
          <w:rFonts w:ascii="Arial" w:hAnsi="Arial"/>
          <w:b w:val="0"/>
          <w:i w:val="0"/>
          <w:sz w:val="24"/>
        </w:rPr>
        <w:t>DOCUMENTOS QUE SE ACOMPAÑARON A LA CONSULTA: instrumento notarial, avisos, constancias; enumera lo que efectivamente exhibiste.</w:t>
      </w:r>
    </w:p>
    <w:p>
      <w:pPr>
        <w:spacing w:line="360" w:lineRule="auto"/>
        <w:jc w:val="both"/>
      </w:pPr>
      <w:r>
        <w:rPr>
          <w:rFonts w:ascii="Arial" w:hAnsi="Arial"/>
          <w:b w:val="0"/>
          <w:i w:val="0"/>
          <w:sz w:val="24"/>
        </w:rPr>
        <w:t>OPERACIÓN O ACTO QUE MOTIVÓ LA CONSULTA: fusión, escisión, sustitución patronal u otra figura, descrita en una línea.</w:t>
      </w:r>
    </w:p>
    <w:p>
      <w:pPr>
        <w:spacing w:line="360" w:lineRule="auto"/>
        <w:jc w:val="both"/>
      </w:pPr>
      <w:r>
        <w:rPr>
          <w:rFonts w:ascii="Arial" w:hAnsi="Arial"/>
          <w:b w:val="0"/>
          <w:i w:val="0"/>
          <w:sz w:val="24"/>
        </w:rPr>
        <w:t>FECHA DEL OFICIO DE RESPUESTA FAVORABLE: la del oficio en que la autoridad te contestó en sentido favorable.</w:t>
      </w:r>
    </w:p>
    <w:p>
      <w:pPr>
        <w:spacing w:line="360" w:lineRule="auto"/>
        <w:jc w:val="both"/>
      </w:pPr>
      <w:r>
        <w:rPr>
          <w:rFonts w:ascii="Arial" w:hAnsi="Arial"/>
          <w:b w:val="0"/>
          <w:i w:val="0"/>
          <w:sz w:val="24"/>
        </w:rPr>
        <w:t>CONTENIDO DE LA RESPUESTA FAVORABLE: qué reconoció exactamente; clase, prima y periodo, en los términos literales del oficio.</w:t>
      </w:r>
    </w:p>
    <w:p>
      <w:pPr>
        <w:spacing w:line="360" w:lineRule="auto"/>
        <w:jc w:val="both"/>
      </w:pPr>
      <w:r>
        <w:rPr>
          <w:rFonts w:ascii="Arial" w:hAnsi="Arial"/>
          <w:b w:val="0"/>
          <w:i w:val="0"/>
          <w:sz w:val="24"/>
        </w:rPr>
        <w:t>NÚMERO DE FOJA O ANEXO DE LA PRUEBA: dónde localiza la Sala cada documental que ofreces.</w:t>
      </w:r>
    </w:p>
    <w:p>
      <w:pPr>
        <w:spacing w:line="360" w:lineRule="auto"/>
        <w:jc w:val="both"/>
      </w:pPr>
      <w:r>
        <w:rPr>
          <w:rFonts w:ascii="Arial" w:hAnsi="Arial"/>
          <w:b w:val="0"/>
          <w:i w:val="0"/>
          <w:sz w:val="24"/>
        </w:rPr>
        <w:t>TRANSCRIPCIÓN DEL RAZONAMIENTO DE LA AUTORIDAD: el párrafo de la resolución impugnada que justifica la rectificación; transcríbelo íntegro.</w:t>
      </w:r>
    </w:p>
    <w:p>
      <w:pPr>
        <w:spacing w:line="360" w:lineRule="auto"/>
        <w:jc w:val="both"/>
      </w:pPr>
      <w:r>
        <w:rPr>
          <w:rFonts w:ascii="Arial" w:hAnsi="Arial"/>
          <w:b w:val="0"/>
          <w:i w:val="0"/>
          <w:sz w:val="24"/>
        </w:rPr>
        <w:t>NÚMERO DE EXPEDIENTE DEL JUICIO EN QUE SE IMPUGNÓ EL ACTO ANTECEDENTE: sólo si existe; si no lo hay, suprime el párrafo de refuerzo completo.</w:t>
      </w:r>
    </w:p>
    <w:p/>
    <w:p>
      <w:pPr>
        <w:spacing w:line="360" w:lineRule="auto"/>
        <w:jc w:val="both"/>
      </w:pPr>
      <w:r>
        <w:rPr>
          <w:rFonts w:ascii="Arial" w:hAnsi="Arial"/>
          <w:b/>
          <w:sz w:val="28"/>
        </w:rPr>
        <w:t>[NÚMERO ORDINAL DEL CONCEPTO] CONCEPTO DE IMPUGNACIÓN. Desconocimiento unilateral de una resolución administrativa de carácter individual favorable. La autoridad rectificó la prima del Seguro de Riesgos de Trabajo pese a que ella misma, al contestar una consulta en términos del artículo 34 del Código Fiscal de la Federación, ya había reconocido la clase y la prima aplicables, con lo que contravino el artículo 36, primer párrafo, del mismo ordenamiento y el derecho a la seguridad jurídica, y actualizó la causal del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de </w:t>
      </w:r>
      <w:r>
        <w:rPr>
          <w:rFonts w:ascii="Arial" w:hAnsi="Arial"/>
          <w:b/>
          <w:i w:val="0"/>
          <w:sz w:val="28"/>
        </w:rPr>
        <w:t>[FECHA DE LA RESOLUCIÓN IMPUGNADA]</w:t>
      </w:r>
      <w:r>
        <w:rPr>
          <w:rFonts w:ascii="Arial" w:hAnsi="Arial"/>
          <w:b w:val="0"/>
          <w:i w:val="0"/>
          <w:sz w:val="28"/>
        </w:rPr>
        <w:t xml:space="preserve">, emitida por </w:t>
      </w:r>
      <w:r>
        <w:rPr>
          <w:rFonts w:ascii="Arial" w:hAnsi="Arial"/>
          <w:b/>
          <w:i w:val="0"/>
          <w:sz w:val="28"/>
        </w:rPr>
        <w:t>[AUTORIDAD DEMANDADA]</w:t>
      </w:r>
      <w:r>
        <w:rPr>
          <w:rFonts w:ascii="Arial" w:hAnsi="Arial"/>
          <w:b w:val="0"/>
          <w:i w:val="0"/>
          <w:sz w:val="28"/>
        </w:rPr>
        <w:t xml:space="preserve">, es ilegal porque desconoció, por su sola voluntad y sin juicio previo, la resolución individual favorable que esa misma autoridad emitió en el oficio de </w:t>
      </w:r>
      <w:r>
        <w:rPr>
          <w:rFonts w:ascii="Arial" w:hAnsi="Arial"/>
          <w:b/>
          <w:i w:val="0"/>
          <w:sz w:val="28"/>
        </w:rPr>
        <w:t>[FECHA DEL OFICIO DE RESPUESTA FAVORABLE]</w:t>
      </w:r>
      <w:r>
        <w:rPr>
          <w:rFonts w:ascii="Arial" w:hAnsi="Arial"/>
          <w:b w:val="0"/>
          <w:i w:val="0"/>
          <w:sz w:val="28"/>
        </w:rPr>
        <w:t xml:space="preserve">, al contestar la consulta que </w:t>
      </w:r>
      <w:r>
        <w:rPr>
          <w:rFonts w:ascii="Arial" w:hAnsi="Arial"/>
          <w:b/>
          <w:i w:val="0"/>
          <w:sz w:val="28"/>
        </w:rPr>
        <w:t>[NOMBRE DE LA PARTE ACTORA]</w:t>
      </w:r>
      <w:r>
        <w:rPr>
          <w:rFonts w:ascii="Arial" w:hAnsi="Arial"/>
          <w:b w:val="0"/>
          <w:i w:val="0"/>
          <w:sz w:val="28"/>
        </w:rPr>
        <w:t xml:space="preserve"> le formuló sobre la clase y la prima del Seguro de Riesgos de Trabajo que le correspondían.</w:t>
      </w:r>
    </w:p>
    <w:p>
      <w:pPr>
        <w:spacing w:line="360" w:lineRule="auto"/>
        <w:jc w:val="both"/>
      </w:pPr>
      <w:r>
        <w:rPr>
          <w:rFonts w:ascii="Arial" w:hAnsi="Arial"/>
          <w:b w:val="0"/>
          <w:i w:val="0"/>
          <w:sz w:val="28"/>
        </w:rPr>
        <w:t>La demostración descansa en una premisa sencilla y verificable. El artículo 34 del Código Fiscal de la Federación es una norma sustantiva, en cuanto crea derechos y obligaciones, y por eso la contestación favorable a una consulta sobre una situación real y concreta vincula a la autoridad que la emitió, siempre que se colmen las tres condicionantes que el propio precepto enumera; y el artículo 36, primer párrafo, del mismo ordenamiento reserva la modificación de esa resolución favorable a este Tribunal, en juicio iniciado por las autoridades fiscales.</w:t>
      </w:r>
    </w:p>
    <w:p>
      <w:pPr>
        <w:spacing w:line="360" w:lineRule="auto"/>
        <w:jc w:val="both"/>
      </w:pPr>
      <w:r>
        <w:rPr>
          <w:rFonts w:ascii="Arial" w:hAnsi="Arial"/>
          <w:b w:val="0"/>
          <w:i w:val="0"/>
          <w:sz w:val="28"/>
        </w:rPr>
        <w:t xml:space="preserve">El perjuicio es concreto y cuantificable. Sobre la base de esa rectificación se fijaron nuevas primas para los periodos comprendidos en </w:t>
      </w:r>
      <w:r>
        <w:rPr>
          <w:rFonts w:ascii="Arial" w:hAnsi="Arial"/>
          <w:b/>
          <w:i w:val="0"/>
          <w:sz w:val="28"/>
        </w:rPr>
        <w:t>[PERIODO O EJERCICIOS QUE ABARCA LA RESOLUCIÓN IMPUGNADA]</w:t>
      </w:r>
      <w:r>
        <w:rPr>
          <w:rFonts w:ascii="Arial" w:hAnsi="Arial"/>
          <w:b w:val="0"/>
          <w:i w:val="0"/>
          <w:sz w:val="28"/>
        </w:rPr>
        <w:t>, con las diferencias de cuotas y los accesorios que de ellas derivan, de modo que la autoridad pretende cobrar a la parte actora, con efectos retroactivos, las diferencias que resultan de desconocer la misma clase y la misma prima que ella le había certificado.</w:t>
      </w:r>
    </w:p>
    <w:p>
      <w:pPr>
        <w:spacing w:line="360" w:lineRule="auto"/>
        <w:jc w:val="both"/>
      </w:pPr>
      <w:r>
        <w:rPr>
          <w:rFonts w:ascii="Arial" w:hAnsi="Arial"/>
          <w:b w:val="0"/>
          <w:i w:val="0"/>
          <w:sz w:val="28"/>
        </w:rPr>
        <w:t>Si la premisa se respeta, la conclusión es forzosa: la resolución impugnada se dictó en contravención de las disposiciones aplicadas, con lo que se actualiza la causal de ilegalidad del artículo 51, fracción IV, de la Ley Federal de Procedimiento Contencioso Administrativo, y procede declarar su nulidad lisa y llana en términos del artículo 52, fracción II, del mismo ordenamiento, por tratarse de un vicio que impide su reiteración por cualquier autoridad.</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La resolución impugnada es la de </w:t>
      </w:r>
      <w:r>
        <w:rPr>
          <w:rFonts w:ascii="Arial" w:hAnsi="Arial"/>
          <w:b/>
          <w:i w:val="0"/>
          <w:sz w:val="28"/>
        </w:rPr>
        <w:t>[FECHA DE LA RESOLUCIÓN IMPUGNADA]</w:t>
      </w:r>
      <w:r>
        <w:rPr>
          <w:rFonts w:ascii="Arial" w:hAnsi="Arial"/>
          <w:b w:val="0"/>
          <w:i w:val="0"/>
          <w:sz w:val="28"/>
        </w:rPr>
        <w:t xml:space="preserve">, emitida por </w:t>
      </w:r>
      <w:r>
        <w:rPr>
          <w:rFonts w:ascii="Arial" w:hAnsi="Arial"/>
          <w:b/>
          <w:i w:val="0"/>
          <w:sz w:val="28"/>
        </w:rPr>
        <w:t>[AUTORIDAD DEMANDADA]</w:t>
      </w:r>
      <w:r>
        <w:rPr>
          <w:rFonts w:ascii="Arial" w:hAnsi="Arial"/>
          <w:b w:val="0"/>
          <w:i w:val="0"/>
          <w:sz w:val="28"/>
        </w:rPr>
        <w:t xml:space="preserve">, notificada a la parte actora el </w:t>
      </w:r>
      <w:r>
        <w:rPr>
          <w:rFonts w:ascii="Arial" w:hAnsi="Arial"/>
          <w:b/>
          <w:i w:val="0"/>
          <w:sz w:val="28"/>
        </w:rPr>
        <w:t>[FECHA DE NOTIFICACIÓN DE LA RESOLUCIÓN IMPUGNADA]</w:t>
      </w:r>
      <w:r>
        <w:rPr>
          <w:rFonts w:ascii="Arial" w:hAnsi="Arial"/>
          <w:b w:val="0"/>
          <w:i w:val="0"/>
          <w:sz w:val="28"/>
        </w:rPr>
        <w:t xml:space="preserve">, por la que se rectificó la prima del Seguro de Riesgos de Trabajo de </w:t>
      </w:r>
      <w:r>
        <w:rPr>
          <w:rFonts w:ascii="Arial" w:hAnsi="Arial"/>
          <w:b/>
          <w:i w:val="0"/>
          <w:sz w:val="28"/>
        </w:rPr>
        <w:t>[NOMBRE DE LA PARTE ACTORA]</w:t>
      </w:r>
      <w:r>
        <w:rPr>
          <w:rFonts w:ascii="Arial" w:hAnsi="Arial"/>
          <w:b w:val="0"/>
          <w:i w:val="0"/>
          <w:sz w:val="28"/>
        </w:rPr>
        <w:t xml:space="preserve"> respecto de los periodos precisados en </w:t>
      </w:r>
      <w:r>
        <w:rPr>
          <w:rFonts w:ascii="Arial" w:hAnsi="Arial"/>
          <w:b/>
          <w:i w:val="0"/>
          <w:sz w:val="28"/>
        </w:rPr>
        <w:t>[PERIODO O EJERCICIOS QUE ABARCA LA RESOLUCIÓN IMPUGNADA]</w:t>
      </w:r>
      <w:r>
        <w:rPr>
          <w:rFonts w:ascii="Arial" w:hAnsi="Arial"/>
          <w:b w:val="0"/>
          <w:i w:val="0"/>
          <w:sz w:val="28"/>
        </w:rPr>
        <w:t>. La demanda se presenta dentro de los treinta días que fija el artículo 58-2, párrafo tercero, de la Ley Federal de Procedimiento Contencioso Administrativo.</w:t>
      </w:r>
    </w:p>
    <w:p>
      <w:pPr>
        <w:spacing w:line="360" w:lineRule="auto"/>
        <w:jc w:val="both"/>
      </w:pPr>
      <w:r>
        <w:rPr>
          <w:rFonts w:ascii="Arial" w:hAnsi="Arial"/>
          <w:b w:val="0"/>
          <w:i w:val="0"/>
          <w:sz w:val="28"/>
        </w:rPr>
        <w:t>Las normas cuya inobservancia se plantea son los artículos 34 y 36, primer párrafo, del Código Fiscal de la Federación; el artículo 16, primer párrafo, de la Constitución Política de los Estados Unidos Mexicanos, que sujeta todo acto de molestia a mandamiento escrito de autoridad competente que funde y motive la causa legal del procedimiento; y el artículo 3º, fracción V, de la Ley Federal de Procedimiento Administrativo, que exige que el acto administrativo esté fundado y motivado.</w:t>
      </w:r>
    </w:p>
    <w:p>
      <w:pPr>
        <w:spacing w:line="360" w:lineRule="auto"/>
        <w:jc w:val="both"/>
      </w:pPr>
      <w:r>
        <w:rPr>
          <w:rFonts w:ascii="Arial" w:hAnsi="Arial"/>
          <w:b w:val="0"/>
          <w:i w:val="0"/>
          <w:sz w:val="28"/>
        </w:rPr>
        <w:t xml:space="preserve">Los hechos que sostienen el planteamiento son tres y constan en autos. Primero, mediante escrito de </w:t>
      </w:r>
      <w:r>
        <w:rPr>
          <w:rFonts w:ascii="Arial" w:hAnsi="Arial"/>
          <w:b/>
          <w:i w:val="0"/>
          <w:sz w:val="28"/>
        </w:rPr>
        <w:t>[FECHA DEL ESCRITO DE CONSULTA O SOLICITUD]</w:t>
      </w:r>
      <w:r>
        <w:rPr>
          <w:rFonts w:ascii="Arial" w:hAnsi="Arial"/>
          <w:b w:val="0"/>
          <w:i w:val="0"/>
          <w:sz w:val="28"/>
        </w:rPr>
        <w:t xml:space="preserve"> la parte actora formuló consulta sobre su situación real y concreta, acompañando </w:t>
      </w:r>
      <w:r>
        <w:rPr>
          <w:rFonts w:ascii="Arial" w:hAnsi="Arial"/>
          <w:b/>
          <w:i w:val="0"/>
          <w:sz w:val="28"/>
        </w:rPr>
        <w:t>[DOCUMENTOS QUE SE ACOMPAÑARON A LA CONSULTA]</w:t>
      </w:r>
      <w:r>
        <w:rPr>
          <w:rFonts w:ascii="Arial" w:hAnsi="Arial"/>
          <w:b w:val="0"/>
          <w:i w:val="0"/>
          <w:sz w:val="28"/>
        </w:rPr>
        <w:t xml:space="preserve">. Segundo, la autoridad la contestó en sentido favorable mediante el oficio de </w:t>
      </w:r>
      <w:r>
        <w:rPr>
          <w:rFonts w:ascii="Arial" w:hAnsi="Arial"/>
          <w:b/>
          <w:i w:val="0"/>
          <w:sz w:val="28"/>
        </w:rPr>
        <w:t>[FECHA DEL OFICIO DE RESPUESTA FAVORABLE]</w:t>
      </w:r>
      <w:r>
        <w:rPr>
          <w:rFonts w:ascii="Arial" w:hAnsi="Arial"/>
          <w:b w:val="0"/>
          <w:i w:val="0"/>
          <w:sz w:val="28"/>
        </w:rPr>
        <w:t xml:space="preserve">, en el que reconoció y certificó </w:t>
      </w:r>
      <w:r>
        <w:rPr>
          <w:rFonts w:ascii="Arial" w:hAnsi="Arial"/>
          <w:b/>
          <w:i w:val="0"/>
          <w:sz w:val="28"/>
        </w:rPr>
        <w:t>[CONTENIDO DE LA RESPUESTA FAVORABLE]</w:t>
      </w:r>
      <w:r>
        <w:rPr>
          <w:rFonts w:ascii="Arial" w:hAnsi="Arial"/>
          <w:b w:val="0"/>
          <w:i w:val="0"/>
          <w:sz w:val="28"/>
        </w:rPr>
        <w:t>. Tercero, años después emitió la resolución impugnada, que contradice esa certificación.</w:t>
      </w:r>
    </w:p>
    <w:p>
      <w:pPr>
        <w:spacing w:line="360" w:lineRule="auto"/>
        <w:jc w:val="both"/>
      </w:pPr>
      <w:r>
        <w:rPr>
          <w:rFonts w:ascii="Arial" w:hAnsi="Arial"/>
          <w:b w:val="0"/>
          <w:i w:val="0"/>
          <w:sz w:val="28"/>
        </w:rPr>
        <w:t xml:space="preserve">La pretensión es la declaratoria de nulidad lisa y llana. Los hechos anteriores se acreditan con las documentales públicas que se ofrecen y que obran en </w:t>
      </w:r>
      <w:r>
        <w:rPr>
          <w:rFonts w:ascii="Arial" w:hAnsi="Arial"/>
          <w:b/>
          <w:i w:val="0"/>
          <w:sz w:val="28"/>
        </w:rPr>
        <w:t>[NÚMERO DE FOJA O ANEXO DE LA PRUEBA]</w:t>
      </w:r>
      <w:r>
        <w:rPr>
          <w:rFonts w:ascii="Arial" w:hAnsi="Arial"/>
          <w:b w:val="0"/>
          <w:i w:val="0"/>
          <w:sz w:val="28"/>
        </w:rPr>
        <w:t>, a las que corresponde valor probatorio pleno conforme al artículo 46, fracción I, de la Ley Federal de Procedimiento Contencioso Administrativo, sin que la autoridad pueda desconocer la existencia ni el contenido de los documentos que ella misma emitió.</w:t>
      </w:r>
    </w:p>
    <w:p>
      <w:pPr>
        <w:spacing w:line="360" w:lineRule="auto"/>
        <w:jc w:val="both"/>
      </w:pPr>
      <w:r>
        <w:rPr>
          <w:rFonts w:ascii="Arial" w:hAnsi="Arial"/>
          <w:b/>
          <w:sz w:val="28"/>
        </w:rPr>
        <w:t>III. Desarrollo normativo y doctrinal. Premisa mayor.</w:t>
      </w:r>
    </w:p>
    <w:p>
      <w:pPr>
        <w:spacing w:line="360" w:lineRule="auto"/>
        <w:jc w:val="both"/>
      </w:pPr>
      <w:r>
        <w:rPr>
          <w:rFonts w:ascii="Arial" w:hAnsi="Arial"/>
          <w:b w:val="0"/>
          <w:i w:val="0"/>
          <w:sz w:val="28"/>
        </w:rPr>
        <w:t>Conviene partir del piso constitucional. El artículo 16, primer párrafo, de la Constitución Política de los Estados Unidos Mexicanos dispone que nadie puede ser molestado en su persona, familia, domicilio, papeles o posesiones, sino en virtud de mandamiento escrito de la autoridad competente que funde y motive la causa legal del procedimiento. De ahí que la administración sólo pueda hacer aquello que las normas le facultan y en la forma en que se lo permiten, sin que su voluntad posterior baste para alterar lo que ya decidió.</w:t>
      </w:r>
    </w:p>
    <w:p>
      <w:pPr>
        <w:spacing w:line="360" w:lineRule="auto"/>
        <w:jc w:val="both"/>
      </w:pPr>
      <w:r>
        <w:rPr>
          <w:rFonts w:ascii="Arial" w:hAnsi="Arial"/>
          <w:b w:val="0"/>
          <w:i w:val="0"/>
          <w:sz w:val="28"/>
        </w:rPr>
        <w:t>Ese mandato se traslada al plano de la legalidad administrativa en el artículo 3º, fracción V, de la Ley Federal de Procedimiento Administrativo, que enumera entre los elementos y requisitos del acto administrativo el de estar fundado y motivado. Fundar es precisar los preceptos sustantivos y adjetivos en que se apoya la determinación; motivar es expresar las razones, circunstancias especiales y causas inmediatas por las que el caso concreto se ajusta a la hipótesis normativa.</w:t>
      </w:r>
    </w:p>
    <w:p>
      <w:pPr>
        <w:spacing w:line="360" w:lineRule="auto"/>
        <w:jc w:val="both"/>
      </w:pPr>
      <w:r>
        <w:rPr>
          <w:rFonts w:ascii="Arial" w:hAnsi="Arial"/>
          <w:b w:val="0"/>
          <w:i w:val="0"/>
          <w:sz w:val="28"/>
        </w:rPr>
        <w:t xml:space="preserve">Sobre esa base opera el artículo 34 del Código Fiscal de la Federación. El precepto dispone que las autoridades fiscales sólo estarán obligadas a contestar las consultas que sobre situaciones reales y concretas les formulen individualmente los interesados, y establece que </w:t>
      </w:r>
      <w:r>
        <w:rPr>
          <w:rFonts w:ascii="Arial" w:hAnsi="Arial"/>
          <w:b w:val="0"/>
          <w:i/>
          <w:sz w:val="28"/>
        </w:rPr>
        <w:t>“la autoridad quedará obligada a aplicar los criterios contenidos en la contestación a la consulta de que se trate”</w:t>
      </w:r>
      <w:r>
        <w:rPr>
          <w:rFonts w:ascii="Arial" w:hAnsi="Arial"/>
          <w:b w:val="0"/>
          <w:i w:val="0"/>
          <w:sz w:val="28"/>
        </w:rPr>
        <w:t xml:space="preserve"> cuando se satisfagan tres condicionantes, que el propio artículo enumera en sus fracciones I, II y III.</w:t>
      </w:r>
    </w:p>
    <w:p>
      <w:pPr>
        <w:spacing w:line="360" w:lineRule="auto"/>
        <w:jc w:val="both"/>
      </w:pPr>
      <w:r>
        <w:rPr>
          <w:rFonts w:ascii="Arial" w:hAnsi="Arial"/>
          <w:b w:val="0"/>
          <w:i w:val="0"/>
          <w:sz w:val="28"/>
        </w:rPr>
        <w:t>Esas condicionantes son que la consulta comprenda los antecedentes y circunstancias necesarias para que la autoridad pueda pronunciarse; que esos antecedentes y circunstancias no se hubieren modificado con posterioridad a la presentación de la consulta; y que la consulta se formule antes de que la autoridad ejerza sus facultades de comprobación respecto de las situaciones reales y concretas a que se refiere. Colmadas las tres, la contestación deja de ser una opinión y se vuelve fuente de un derecho para quien consultó.</w:t>
      </w:r>
    </w:p>
    <w:p>
      <w:pPr>
        <w:spacing w:line="360" w:lineRule="auto"/>
        <w:jc w:val="both"/>
      </w:pPr>
      <w:r>
        <w:rPr>
          <w:rFonts w:ascii="Arial" w:hAnsi="Arial"/>
          <w:b w:val="0"/>
          <w:i w:val="0"/>
          <w:sz w:val="28"/>
        </w:rPr>
        <w:t>De ahí que el artículo 34 sea una norma sustantiva y no una simple regla de trámite: crea derechos en favor del particular. Cuando la contestación resulta favorable, no puede ser desconocida sin más por la autoridad, sino que debe respetarla y reconocerla mientras las circunstancias de hecho y de derecho permanezcan idénticas a las que se le presentaron, tal como esta Sala lo ha reconocido en casos análogos al resolver sobre resoluciones individuales favorables.</w:t>
      </w:r>
    </w:p>
    <w:p>
      <w:pPr>
        <w:spacing w:line="360" w:lineRule="auto"/>
        <w:jc w:val="both"/>
      </w:pPr>
      <w:r>
        <w:rPr>
          <w:rFonts w:ascii="Arial" w:hAnsi="Arial"/>
          <w:b w:val="0"/>
          <w:i w:val="0"/>
          <w:sz w:val="28"/>
        </w:rPr>
        <w:t xml:space="preserve">El cierre del sistema está en el artículo 36, primer párrafo, del Código Fiscal de la Federación, conforme al cual </w:t>
      </w:r>
      <w:r>
        <w:rPr>
          <w:rFonts w:ascii="Arial" w:hAnsi="Arial"/>
          <w:b w:val="0"/>
          <w:i/>
          <w:sz w:val="28"/>
        </w:rPr>
        <w:t>“las resoluciones administrativas de carácter individual favorables a un particular sólo podrán ser modificadas”</w:t>
      </w:r>
      <w:r>
        <w:rPr>
          <w:rFonts w:ascii="Arial" w:hAnsi="Arial"/>
          <w:b w:val="0"/>
          <w:i w:val="0"/>
          <w:sz w:val="28"/>
        </w:rPr>
        <w:t xml:space="preserve"> por este Tribunal </w:t>
      </w:r>
      <w:r>
        <w:rPr>
          <w:rFonts w:ascii="Arial" w:hAnsi="Arial"/>
          <w:b w:val="0"/>
          <w:i/>
          <w:sz w:val="28"/>
        </w:rPr>
        <w:t>“mediante juicio iniciado por las autoridades fiscales”</w:t>
      </w:r>
      <w:r>
        <w:rPr>
          <w:rFonts w:ascii="Arial" w:hAnsi="Arial"/>
          <w:b w:val="0"/>
          <w:i w:val="0"/>
          <w:sz w:val="28"/>
        </w:rPr>
        <w:t>. La consecuencia es doble: la resolución favorable goza de irrevocabilidad unilateral, y la única vía para privarla de efectos es el juicio que la ley reserva a la autoridad, conocido en la práctica como juicio de lesividad.</w:t>
      </w:r>
    </w:p>
    <w:p>
      <w:pPr>
        <w:spacing w:line="360" w:lineRule="auto"/>
        <w:jc w:val="both"/>
      </w:pPr>
      <w:r>
        <w:rPr>
          <w:rFonts w:ascii="Arial" w:hAnsi="Arial"/>
          <w:b w:val="0"/>
          <w:i w:val="0"/>
          <w:sz w:val="28"/>
        </w:rPr>
        <w:t>La razón de ese diseño no es formalista. Se trata de que la modificación de un acto que ya benefició a una persona transite por un espacio institucional de contradicción, donde ambas partes puedan postular, probar y defenderse, y sea un tercero imparcial quien decida si procede o no dejarlo sin efectos. La seguridad jurídica sólo se sostiene cuando las respuestas de los tribunales son coherentes con el material jurídico existente, en lugar de ofrecer respuestas arbitrarias y distintas cada vez.</w:t>
      </w:r>
      <w:r>
        <w:rPr>
          <w:rFonts w:ascii="Arial" w:hAnsi="Arial"/>
          <w:vertAlign w:val="superscript"/>
        </w:rPr>
        <w:t>1</w:t>
      </w:r>
      <w:r>
        <w:rPr>
          <w:rFonts w:ascii="Arial" w:hAnsi="Arial"/>
          <w:b w:val="0"/>
          <w:i w:val="0"/>
          <w:sz w:val="28"/>
        </w:rPr>
        <w:t xml:space="preserve"> Otro tanto debe exigirse de la autoridad que contesta una consulta.</w:t>
      </w:r>
    </w:p>
    <w:p>
      <w:pPr>
        <w:spacing w:line="360" w:lineRule="auto"/>
        <w:jc w:val="both"/>
      </w:pPr>
      <w:r>
        <w:rPr>
          <w:rFonts w:ascii="Arial" w:hAnsi="Arial"/>
          <w:b w:val="0"/>
          <w:i w:val="0"/>
          <w:sz w:val="28"/>
        </w:rPr>
        <w:t>A ello se suma la exigencia de congruencia, que no rige únicamente a las sentencias. La doctrina la define como la conformidad entre lo pretendido por las partes y lo resuelto por el juzgador, y distingue esa congruencia externa de la interna, que atañe a la coherencia de la decisión consigo misma.</w:t>
      </w:r>
      <w:r>
        <w:rPr>
          <w:rFonts w:ascii="Arial" w:hAnsi="Arial"/>
          <w:vertAlign w:val="superscript"/>
        </w:rPr>
        <w:t>2</w:t>
      </w:r>
      <w:r>
        <w:rPr>
          <w:rFonts w:ascii="Arial" w:hAnsi="Arial"/>
          <w:b w:val="0"/>
          <w:i w:val="0"/>
          <w:sz w:val="28"/>
        </w:rPr>
        <w:t xml:space="preserve"> Trasladada a la consulta y a su contestación, la exigencia significa que debe existir correlación entre lo que se preguntó, con los documentos exhibidos, y lo que la autoridad respondió.</w:t>
      </w:r>
    </w:p>
    <w:p>
      <w:pPr>
        <w:spacing w:line="360" w:lineRule="auto"/>
        <w:jc w:val="both"/>
      </w:pPr>
      <w:r>
        <w:rPr>
          <w:rFonts w:ascii="Arial" w:hAnsi="Arial"/>
          <w:b w:val="0"/>
          <w:i w:val="0"/>
          <w:sz w:val="28"/>
        </w:rPr>
        <w:t>La misma doctrina precisa que la congruencia obliga a responder tanto al petitum, es decir, a lo que se pide, como a la causa petendi, esto es, a los fundamentos de hecho y de derecho que sustentan lo pedido.</w:t>
      </w:r>
      <w:r>
        <w:rPr>
          <w:rFonts w:ascii="Arial" w:hAnsi="Arial"/>
          <w:vertAlign w:val="superscript"/>
        </w:rPr>
        <w:t>3</w:t>
      </w:r>
      <w:r>
        <w:rPr>
          <w:rFonts w:ascii="Arial" w:hAnsi="Arial"/>
          <w:b w:val="0"/>
          <w:i w:val="0"/>
          <w:sz w:val="28"/>
        </w:rPr>
        <w:t xml:space="preserve"> Si la autoridad recibió una consulta acompañada de los documentos que acreditaban la operación y respondió certificando una clase y una prima, su respuesta quedó atada a esos antecedentes y no puede después reprocharle al particular la calificación jurídica que ella misma adoptó.</w:t>
      </w:r>
    </w:p>
    <w:p>
      <w:pPr>
        <w:spacing w:line="360" w:lineRule="auto"/>
        <w:jc w:val="both"/>
      </w:pPr>
      <w:r>
        <w:rPr>
          <w:rFonts w:ascii="Arial" w:hAnsi="Arial"/>
          <w:b w:val="0"/>
          <w:i w:val="0"/>
          <w:sz w:val="28"/>
        </w:rPr>
        <w:t>La premisa mayor puede formularse así: la contestación favorable a una consulta que satisface las tres condicionantes del artículo 34 del Código Fiscal de la Federación constituye una resolución administrativa de carácter individual favorable; genera en quien la obtuvo un derecho y una expectativa legítima de estabilidad; y su eficacia sólo cesa si cambian las circunstancias de hecho o la normatividad aplicada, o si la autoridad promueve el juicio previsto en el artículo 36, primer párrafo, del mismo ordenamiento.</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del expediente encuadran sin esfuerzo en esa premisa. Mediante escrito de </w:t>
      </w:r>
      <w:r>
        <w:rPr>
          <w:rFonts w:ascii="Arial" w:hAnsi="Arial"/>
          <w:b/>
          <w:i w:val="0"/>
          <w:sz w:val="28"/>
        </w:rPr>
        <w:t>[FECHA DEL ESCRITO DE CONSULTA O SOLICITUD]</w:t>
      </w:r>
      <w:r>
        <w:rPr>
          <w:rFonts w:ascii="Arial" w:hAnsi="Arial"/>
          <w:b w:val="0"/>
          <w:i w:val="0"/>
          <w:sz w:val="28"/>
        </w:rPr>
        <w:t xml:space="preserve">, la parte actora planteó a la autoridad una situación real y concreta, la de la clase y la prima del Seguro de Riesgos de Trabajo que le correspondían tras </w:t>
      </w:r>
      <w:r>
        <w:rPr>
          <w:rFonts w:ascii="Arial" w:hAnsi="Arial"/>
          <w:b/>
          <w:i w:val="0"/>
          <w:sz w:val="28"/>
        </w:rPr>
        <w:t>[OPERACIÓN O ACTO QUE MOTIVÓ LA CONSULTA]</w:t>
      </w:r>
      <w:r>
        <w:rPr>
          <w:rFonts w:ascii="Arial" w:hAnsi="Arial"/>
          <w:b w:val="0"/>
          <w:i w:val="0"/>
          <w:sz w:val="28"/>
        </w:rPr>
        <w:t xml:space="preserve">, y acompañó </w:t>
      </w:r>
      <w:r>
        <w:rPr>
          <w:rFonts w:ascii="Arial" w:hAnsi="Arial"/>
          <w:b/>
          <w:i w:val="0"/>
          <w:sz w:val="28"/>
        </w:rPr>
        <w:t>[DOCUMENTOS QUE SE ACOMPAÑARON A LA CONSULTA]</w:t>
      </w:r>
      <w:r>
        <w:rPr>
          <w:rFonts w:ascii="Arial" w:hAnsi="Arial"/>
          <w:b w:val="0"/>
          <w:i w:val="0"/>
          <w:sz w:val="28"/>
        </w:rPr>
        <w:t xml:space="preserve">. La autoridad contestó mediante el oficio de </w:t>
      </w:r>
      <w:r>
        <w:rPr>
          <w:rFonts w:ascii="Arial" w:hAnsi="Arial"/>
          <w:b/>
          <w:i w:val="0"/>
          <w:sz w:val="28"/>
        </w:rPr>
        <w:t>[FECHA DEL OFICIO DE RESPUESTA FAVORABLE]</w:t>
      </w:r>
      <w:r>
        <w:rPr>
          <w:rFonts w:ascii="Arial" w:hAnsi="Arial"/>
          <w:b w:val="0"/>
          <w:i w:val="0"/>
          <w:sz w:val="28"/>
        </w:rPr>
        <w:t xml:space="preserve">, en el que reconoció y certificó </w:t>
      </w:r>
      <w:r>
        <w:rPr>
          <w:rFonts w:ascii="Arial" w:hAnsi="Arial"/>
          <w:b/>
          <w:i w:val="0"/>
          <w:sz w:val="28"/>
        </w:rPr>
        <w:t>[CONTENIDO DE LA RESPUESTA FAVORABLE]</w:t>
      </w:r>
      <w:r>
        <w:rPr>
          <w:rFonts w:ascii="Arial" w:hAnsi="Arial"/>
          <w:b w:val="0"/>
          <w:i w:val="0"/>
          <w:sz w:val="28"/>
        </w:rPr>
        <w:t>.</w:t>
      </w:r>
    </w:p>
    <w:p>
      <w:pPr>
        <w:spacing w:line="360" w:lineRule="auto"/>
        <w:jc w:val="both"/>
      </w:pPr>
      <w:r>
        <w:rPr>
          <w:rFonts w:ascii="Arial" w:hAnsi="Arial"/>
          <w:b w:val="0"/>
          <w:i w:val="0"/>
          <w:sz w:val="28"/>
        </w:rPr>
        <w:t>La primera condicionante quedó satisfecha, porque la consulta comprendió los antecedentes y circunstancias necesarias para que la autoridad se pronunciara: los documentos exhibidos daban cuenta íntegra de la operación y de sus efectos, tan es así que con ellos, y sólo con ellos, la autoridad estuvo en aptitud de fijar la clase y la prima. Quien resuelve una consulta afirmando la clase que corresponde reconoce, con ese solo acto, que contaba con los elementos para hacerlo.</w:t>
      </w:r>
    </w:p>
    <w:p>
      <w:pPr>
        <w:spacing w:line="360" w:lineRule="auto"/>
        <w:jc w:val="both"/>
      </w:pPr>
      <w:r>
        <w:rPr>
          <w:rFonts w:ascii="Arial" w:hAnsi="Arial"/>
          <w:b w:val="0"/>
          <w:i w:val="0"/>
          <w:sz w:val="28"/>
        </w:rPr>
        <w:t>La segunda condicionante también se colma, pues los antecedentes y circunstancias que originaron la consulta no se modificaron con posterioridad a su presentación. La resolución impugnada no se apoya en documentos distintos de los que la parte actora exhibió, ni afirma que hayan surgido hechos nuevos o que la normatividad aplicable haya cambiado; se limita a revalorar los mismos elementos con un criterio diverso, que es exactamente lo que la vinculación del artículo 34 impide.</w:t>
      </w:r>
    </w:p>
    <w:p>
      <w:pPr>
        <w:spacing w:line="360" w:lineRule="auto"/>
        <w:jc w:val="both"/>
      </w:pPr>
      <w:r>
        <w:rPr>
          <w:rFonts w:ascii="Arial" w:hAnsi="Arial"/>
          <w:b w:val="0"/>
          <w:i w:val="0"/>
          <w:sz w:val="28"/>
        </w:rPr>
        <w:t>La tercera condicionante se surtió igualmente, porque la consulta se formuló antes de que la autoridad ejerciera facultades de comprobación sobre esa situación real y concreta. La resolución impugnada es muy posterior y constituye, precisamente, el acto con el que la autoridad revisó lo que ya había certificado. Colmadas las tres condicionantes, la contestación favorable vinculaba a la autoridad y sólo podía ser modificada por este Tribunal en el juicio que la ley le reserva.</w:t>
      </w:r>
    </w:p>
    <w:p>
      <w:pPr>
        <w:spacing w:line="360" w:lineRule="auto"/>
        <w:jc w:val="both"/>
      </w:pPr>
      <w:r>
        <w:rPr>
          <w:rFonts w:ascii="Arial" w:hAnsi="Arial"/>
          <w:b w:val="0"/>
          <w:i w:val="0"/>
          <w:sz w:val="28"/>
        </w:rPr>
        <w:t xml:space="preserve">Pese a ello, mediante la resolución impugnada la autoridad rectificó la prima para los periodos señalados con el siguiente razonamiento: </w:t>
      </w:r>
      <w:r>
        <w:rPr>
          <w:rFonts w:ascii="Arial" w:hAnsi="Arial"/>
          <w:b/>
          <w:i w:val="0"/>
          <w:sz w:val="28"/>
        </w:rPr>
        <w:t>[TRANSCRIPCIÓN DEL RAZONAMIENTO DE LA AUTORIDAD]</w:t>
      </w:r>
      <w:r>
        <w:rPr>
          <w:rFonts w:ascii="Arial" w:hAnsi="Arial"/>
          <w:b w:val="0"/>
          <w:i w:val="0"/>
          <w:sz w:val="28"/>
        </w:rPr>
        <w:t>. La idea central de esa motivación es doble: que conserva facultades de comprobación durante el plazo legal y que, por ello, puede revisar su propio oficio; y que la operación consultada encuadraba en un supuesto reglamentario distinto del que invocó al contestar la consulta.</w:t>
      </w:r>
    </w:p>
    <w:p>
      <w:pPr>
        <w:spacing w:line="360" w:lineRule="auto"/>
        <w:jc w:val="both"/>
      </w:pPr>
      <w:r>
        <w:rPr>
          <w:rFonts w:ascii="Arial" w:hAnsi="Arial"/>
          <w:b w:val="0"/>
          <w:i w:val="0"/>
          <w:sz w:val="28"/>
        </w:rPr>
        <w:t>El primer argumento es lógicamente inválido y conviene nombrar el error. Se trata de un non sequitur, denominación genérica de todos los argumentos en que la conclusión no se sigue de las premisas.</w:t>
      </w:r>
      <w:r>
        <w:rPr>
          <w:rFonts w:ascii="Arial" w:hAnsi="Arial"/>
          <w:vertAlign w:val="superscript"/>
        </w:rPr>
        <w:t>4</w:t>
      </w:r>
      <w:r>
        <w:rPr>
          <w:rFonts w:ascii="Arial" w:hAnsi="Arial"/>
          <w:b w:val="0"/>
          <w:i w:val="0"/>
          <w:sz w:val="28"/>
        </w:rPr>
        <w:t xml:space="preserve"> De la premisa cierta de que la autoridad conserva facultades de comprobación no se sigue la conclusión de que pueda revocar por sí misma una resolución favorable propia: la comprobación recae sobre el cumplimiento de las obligaciones del particular, no sobre la validez de los actos del Estado.</w:t>
      </w:r>
    </w:p>
    <w:p>
      <w:pPr>
        <w:spacing w:line="360" w:lineRule="auto"/>
        <w:jc w:val="both"/>
      </w:pPr>
      <w:r>
        <w:rPr>
          <w:rFonts w:ascii="Arial" w:hAnsi="Arial"/>
          <w:b w:val="0"/>
          <w:i w:val="0"/>
          <w:sz w:val="28"/>
        </w:rPr>
        <w:t>En rigor, la comprobación y la lesividad son instituciones distintas, con presupuestos y consecuencias diversas. Sostener que la primera absorbe a la segunda vacía de contenido el artículo 36, primer párrafo, del Código Fiscal de la Federación, pues ninguna resolución favorable resistiría el simple cambio de opinión de la autoridad. Una interpretación que priva de todo efecto útil a un precepto vigente no puede ser la correcta, y así debe declararlo esta Sala.</w:t>
      </w:r>
    </w:p>
    <w:p>
      <w:pPr>
        <w:spacing w:line="360" w:lineRule="auto"/>
        <w:jc w:val="both"/>
      </w:pPr>
      <w:r>
        <w:rPr>
          <w:rFonts w:ascii="Arial" w:hAnsi="Arial"/>
          <w:b w:val="0"/>
          <w:i w:val="0"/>
          <w:sz w:val="28"/>
        </w:rPr>
        <w:t>El razonamiento incurre además en petición de principio, falacia que consiste en postular o tomar por cierto lo que está en discusión, esto es, en demostrar por sí mismo lo que no es conocido por sí mismo.</w:t>
      </w:r>
      <w:r>
        <w:rPr>
          <w:rFonts w:ascii="Arial" w:hAnsi="Arial"/>
          <w:vertAlign w:val="superscript"/>
        </w:rPr>
        <w:t>5</w:t>
      </w:r>
      <w:r>
        <w:rPr>
          <w:rFonts w:ascii="Arial" w:hAnsi="Arial"/>
          <w:b w:val="0"/>
          <w:i w:val="0"/>
          <w:sz w:val="28"/>
        </w:rPr>
        <w:t xml:space="preserve"> La autoridad da por supuesto en su premisa aquello que debía probar, a saber, que su oficio de respuesta no la vinculaba; sólo si esa conclusión se admite de antemano tiene sentido afirmar que podía revisarlo mediante comprobación.</w:t>
      </w:r>
    </w:p>
    <w:p>
      <w:pPr>
        <w:spacing w:line="360" w:lineRule="auto"/>
        <w:jc w:val="both"/>
      </w:pPr>
      <w:r>
        <w:rPr>
          <w:rFonts w:ascii="Arial" w:hAnsi="Arial"/>
          <w:b w:val="0"/>
          <w:i w:val="0"/>
          <w:sz w:val="28"/>
        </w:rPr>
        <w:t>El segundo argumento tampoco resiste el análisis. Si la autoridad estimaba que la operación encuadraba en un supuesto reglamentario distinto del que invocó, tuvo a la vista los documentos que se lo revelaban desde el momento de la consulta y debió contestarla en sentido negativo, o bien fijar desde entonces la prima que considerara correcta. Lo que no podía hacer era certificar una clase y una prima y contradecirse años más tarde, con efectos retroactivos y en perjuicio de quien confió en su respuesta.</w:t>
      </w:r>
    </w:p>
    <w:p>
      <w:pPr>
        <w:spacing w:line="360" w:lineRule="auto"/>
        <w:jc w:val="both"/>
      </w:pPr>
      <w:r>
        <w:rPr>
          <w:rFonts w:ascii="Arial" w:hAnsi="Arial"/>
          <w:b w:val="0"/>
          <w:i w:val="0"/>
          <w:sz w:val="28"/>
        </w:rPr>
        <w:t>Ese proceder rompe la correlación exigida entre lo consultado y lo contestado, y con ella el principio de congruencia que rige toda petición o consulta y su respuesta, con la consecuente afectación a la seguridad jurídica de la parte actora, que organizó su cumplimiento y su contabilidad conforme a la certificación recibida. La confianza en la estabilidad de los actos del Estado es un valor jurídico, no una candidez del particular: es la autoridad quien la creó al responder en sentido favorable.</w:t>
      </w:r>
    </w:p>
    <w:p>
      <w:pPr>
        <w:spacing w:line="360" w:lineRule="auto"/>
        <w:jc w:val="both"/>
      </w:pPr>
      <w:r>
        <w:rPr>
          <w:rFonts w:ascii="Arial" w:hAnsi="Arial"/>
          <w:b w:val="0"/>
          <w:i w:val="0"/>
          <w:sz w:val="28"/>
        </w:rPr>
        <w:t xml:space="preserve">Un argumento de refuerzo confirma la ilegalidad. Las primas rectificadas en la resolución impugnada tienen como antecedente directo la rectificación del periodo inmediato anterior, acto que la parte actora impugnó en el diverso juicio </w:t>
      </w:r>
      <w:r>
        <w:rPr>
          <w:rFonts w:ascii="Arial" w:hAnsi="Arial"/>
          <w:b/>
          <w:i w:val="0"/>
          <w:sz w:val="28"/>
        </w:rPr>
        <w:t>[NÚMERO DE EXPEDIENTE DEL JUICIO EN QUE SE IMPUGNÓ EL ACTO ANTECEDENTE]</w:t>
      </w:r>
      <w:r>
        <w:rPr>
          <w:rFonts w:ascii="Arial" w:hAnsi="Arial"/>
          <w:b w:val="0"/>
          <w:i w:val="0"/>
          <w:sz w:val="28"/>
        </w:rPr>
        <w:t xml:space="preserve"> y que aún no se encuentra firme. La autoridad construyó así toda una cadena de determinaciones sobre una base que aún está sub júdice, de modo que el vicio del eslabón inicial se propaga a los que dependen de él.</w:t>
      </w:r>
    </w:p>
    <w:p>
      <w:pPr>
        <w:spacing w:line="360" w:lineRule="auto"/>
        <w:jc w:val="both"/>
      </w:pPr>
      <w:r>
        <w:rPr>
          <w:rFonts w:ascii="Arial" w:hAnsi="Arial"/>
          <w:b w:val="0"/>
          <w:i w:val="0"/>
          <w:sz w:val="28"/>
        </w:rPr>
        <w:t>Conviene, por último, medir la consecuencia sistémica de convalidar la resolución impugnada. Si bastara con que la autoridad cambiara de criterio para desconocer sus propias respuestas favorables, la consulta prevista en el artículo 34 del Código Fiscal de la Federación dejaría de ser un instrumento de certeza y se convertiría en una trampa: el particular quedaría peor que si nunca hubiera consultado, pues habría entregado a la autoridad todos sus documentos para recibir a cambio una certificación revocable a voluntad.</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 xml:space="preserve">En suma: la contestación favorable de </w:t>
      </w:r>
      <w:r>
        <w:rPr>
          <w:rFonts w:ascii="Arial" w:hAnsi="Arial"/>
          <w:b/>
          <w:i w:val="0"/>
          <w:sz w:val="28"/>
        </w:rPr>
        <w:t>[FECHA DEL OFICIO DE RESPUESTA FAVORABLE]</w:t>
      </w:r>
      <w:r>
        <w:rPr>
          <w:rFonts w:ascii="Arial" w:hAnsi="Arial"/>
          <w:b w:val="0"/>
          <w:i w:val="0"/>
          <w:sz w:val="28"/>
        </w:rPr>
        <w:t xml:space="preserve"> satisfizo las tres condicionantes del artículo 34 del Código Fiscal de la Federación y constituye, por ello, una resolución administrativa de carácter individual favorable; su modificación estaba reservada a este Tribunal, en juicio iniciado por la propia autoridad, conforme al artículo 36, primer párrafo, del mismo ordenamiento; la autoridad la desconoció por sí y ante sí en la resolución impugnada; y con ello violó el derecho a la seguridad jurídica de la parte actora.</w:t>
      </w:r>
    </w:p>
    <w:p>
      <w:pPr>
        <w:spacing w:line="360" w:lineRule="auto"/>
        <w:jc w:val="both"/>
      </w:pPr>
      <w:r>
        <w:rPr>
          <w:rFonts w:ascii="Arial" w:hAnsi="Arial"/>
          <w:b w:val="0"/>
          <w:i w:val="0"/>
          <w:sz w:val="28"/>
        </w:rPr>
        <w:t xml:space="preserve">Por lo expuesto, procede declarar fundado el presente concepto de impugnación y, con fundamento en los artículos 51, fracción IV, y 52, fracción II, de la Ley Federal de Procedimiento Contencioso Administrativo, declarar la nulidad lisa y llana de la resolución de </w:t>
      </w:r>
      <w:r>
        <w:rPr>
          <w:rFonts w:ascii="Arial" w:hAnsi="Arial"/>
          <w:b/>
          <w:i w:val="0"/>
          <w:sz w:val="28"/>
        </w:rPr>
        <w:t>[FECHA DE LA RESOLUCIÓN IMPUGNADA]</w:t>
      </w:r>
      <w:r>
        <w:rPr>
          <w:rFonts w:ascii="Arial" w:hAnsi="Arial"/>
          <w:b w:val="0"/>
          <w:i w:val="0"/>
          <w:sz w:val="28"/>
        </w:rPr>
        <w:t>, al haberse dictado en contravención de las disposiciones aplicadas, sin que el vicio admita subsanarse mediante la emisión de un nuevo acto por autoridad alguna.</w:t>
      </w:r>
    </w:p>
    <w:p>
      <w:pPr>
        <w:spacing w:line="360" w:lineRule="auto"/>
        <w:jc w:val="both"/>
      </w:pPr>
      <w:r>
        <w:rPr>
          <w:rFonts w:ascii="Arial" w:hAnsi="Arial"/>
          <w:b w:val="0"/>
          <w:i w:val="0"/>
          <w:sz w:val="28"/>
        </w:rPr>
        <w:t>Se solicita el estudio preferente de este concepto de impugnación, conforme al artículo 50, segundo párrafo, de la Ley Federal de Procedimiento Contencioso Administrativo, pues es el que mayor beneficio reporta a la parte actora: de acogerse, la nulidad es lisa y llana y torna innecesario el examen de los restantes planteamientos, incluidos los formales, cuyo acogimiento sólo conduciría a una nulidad de menor alcance.</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GÓMORA JUÁREZ, Sandra, </w:t>
      </w:r>
      <w:r>
        <w:rPr>
          <w:rFonts w:ascii="Arial" w:hAnsi="Arial"/>
          <w:i/>
          <w:sz w:val="20"/>
        </w:rPr>
        <w:t>Un análisis conceptual del precedente judicial</w:t>
      </w:r>
      <w:r>
        <w:rPr>
          <w:rFonts w:ascii="Arial" w:hAnsi="Arial"/>
          <w:i w:val="0"/>
          <w:sz w:val="20"/>
        </w:rPr>
        <w:t>, Universidad Nacional Autónoma de México, Instituto de Investigaciones Jurídicas, México, 2018, p. 205.</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FERNÁNDEZ RUIZ, Graciela, </w:t>
      </w:r>
      <w:r>
        <w:rPr>
          <w:rFonts w:ascii="Arial" w:hAnsi="Arial"/>
          <w:i/>
          <w:sz w:val="20"/>
        </w:rPr>
        <w:t>Argumentación y lenguaje jurídico. Aplicación al análisis de una sentencia de la Suprema Corte de Justicia de la Nación</w:t>
      </w:r>
      <w:r>
        <w:rPr>
          <w:rFonts w:ascii="Arial" w:hAnsi="Arial"/>
          <w:i w:val="0"/>
          <w:sz w:val="20"/>
        </w:rPr>
        <w:t>, 2ª ed., Universidad Nacional Autónoma de México, Instituto de Investigaciones Jurídicas, México, 2017, p. 150.</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184.</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64.</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GARCÍA DAMBORENEA, op. cit.</w:t>
      </w:r>
      <w:r>
        <w:rPr>
          <w:rFonts w:ascii="Arial" w:hAnsi="Arial"/>
          <w:i w:val="0"/>
          <w:sz w:val="20"/>
        </w:rPr>
        <w:t>, p. 73.</w:t>
      </w:r>
    </w:p>
    <w:p/>
    <w:p>
      <w:r>
        <w:rPr>
          <w:rFonts w:ascii="Arial" w:hAnsi="Arial"/>
          <w:b/>
          <w:sz w:val="22"/>
        </w:rPr>
        <w:t>BIBLIOGRAFÍA</w:t>
      </w:r>
    </w:p>
    <w:p>
      <w:pPr>
        <w:spacing w:after="60"/>
        <w:ind w:left="360" w:hanging="360"/>
        <w:jc w:val="both"/>
      </w:pPr>
      <w:r>
        <w:rPr>
          <w:rFonts w:ascii="Arial" w:hAnsi="Arial"/>
          <w:i w:val="0"/>
          <w:sz w:val="20"/>
        </w:rPr>
        <w:t xml:space="preserve">FERNÁNDEZ RUIZ, Graciela, </w:t>
      </w:r>
      <w:r>
        <w:rPr>
          <w:rFonts w:ascii="Arial" w:hAnsi="Arial"/>
          <w:i/>
          <w:sz w:val="20"/>
        </w:rPr>
        <w:t>Argumentación y lenguaje jurídico. Aplicación al análisis de una sentencia de la Suprema Corte de Justicia de la Nación</w:t>
      </w:r>
      <w:r>
        <w:rPr>
          <w:rFonts w:ascii="Arial" w:hAnsi="Arial"/>
          <w:i w:val="0"/>
          <w:sz w:val="20"/>
        </w:rPr>
        <w:t>, 2ª ed., Universidad Nacional Autónoma de México, Instituto de Investigaciones Jurídicas, México, 2017.</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GÓMORA JUÁREZ, Sandra, </w:t>
      </w:r>
      <w:r>
        <w:rPr>
          <w:rFonts w:ascii="Arial" w:hAnsi="Arial"/>
          <w:i/>
          <w:sz w:val="20"/>
        </w:rPr>
        <w:t>Un análisis conceptual del precedente judicial</w:t>
      </w:r>
      <w:r>
        <w:rPr>
          <w:rFonts w:ascii="Arial" w:hAnsi="Arial"/>
          <w:i w:val="0"/>
          <w:sz w:val="20"/>
        </w:rPr>
        <w:t>, Universidad Nacional Autónoma de México, Instituto de Investigaciones Jurídicas, México, 2018.</w:t>
      </w:r>
    </w:p>
    <w:p>
      <w:pPr>
        <w:spacing w:after="60"/>
        <w:ind w:left="360" w:hanging="360"/>
        <w:jc w:val="both"/>
      </w:pP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