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DEVOLUCIÓN DEL ISR RETENIDO SOBRE EL PAGO ÚNICO POR JUBILACIÓN (ARTÍCULO 171 DEL REGLAMENTO DE LA LISR)</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e intégralo como concepto de impugnación de tu demanda de nulidad contra el oficio que negó, en todo o en parte, la devolución del ISR del ejercicio.</w:t>
      </w:r>
    </w:p>
    <w:p>
      <w:pPr>
        <w:spacing w:line="360" w:lineRule="auto"/>
        <w:jc w:val="both"/>
      </w:pPr>
      <w:r>
        <w:rPr>
          <w:rFonts w:ascii="Arial" w:hAnsi="Arial"/>
          <w:b w:val="0"/>
          <w:i w:val="0"/>
          <w:sz w:val="24"/>
        </w:rPr>
        <w:t>Antes de redactar, define la vía. Desde la reforma publicada en el DOF el 9 de junio de 2026, la fracción VI del artículo 58-2 de la Ley Federal de Procedimiento Contencioso Administrativo lleva a la vía sumaria las respuestas a solicitudes de devolución, sujetas al tope de cuantía del primer párrafo de ese precepto. En la vía ordinaria la demanda se presenta dentro de los treinta días del artículo 13, fracción I, y en la sumaria dentro de los treinta días del artículo 58-2, párrafo tercero, contados desde que surta efectos la notificación.</w:t>
      </w:r>
    </w:p>
    <w:p>
      <w:pPr>
        <w:spacing w:line="360" w:lineRule="auto"/>
        <w:jc w:val="both"/>
      </w:pPr>
      <w:r>
        <w:rPr>
          <w:rFonts w:ascii="Arial" w:hAnsi="Arial"/>
          <w:b w:val="0"/>
          <w:i w:val="0"/>
          <w:sz w:val="24"/>
        </w:rPr>
        <w:t>Reúne la prueba de los dos extremos que exige el artículo 171 del Reglamento de la Ley del Impuesto sobre la Renta: que el ingreso derivó del ejercicio de tus derechos pensionarios y que se cubrió en una sola exhibición. Ofrece el historial laboral y de cotización del ISSSTE, la constancia de traspaso a la AFORE, la solicitud de disposición de recursos, la constancia de pagos y retenciones y la explicación pormenorizada del origen del saldo a favor.</w:t>
      </w:r>
    </w:p>
    <w:p>
      <w:pPr>
        <w:spacing w:line="360" w:lineRule="auto"/>
        <w:jc w:val="both"/>
      </w:pPr>
      <w:r>
        <w:rPr>
          <w:rFonts w:ascii="Arial" w:hAnsi="Arial"/>
          <w:b w:val="0"/>
          <w:i w:val="0"/>
          <w:sz w:val="24"/>
        </w:rPr>
        <w:t>Si buscas una condena a cantidad cierta, prepara el cálculo conciliado y considera ofrecer la pericial contable, sin depender de ella para definir la naturaleza del ingreso. Cita los preceptos en el texto vigente durante el ejercicio revisado y verifica en tu cálculo el referente del tope de exención que corresponda a ese año.</w:t>
      </w:r>
    </w:p>
    <w:p>
      <w:pPr>
        <w:spacing w:line="360" w:lineRule="auto"/>
        <w:jc w:val="both"/>
      </w:pPr>
      <w:r>
        <w:rPr>
          <w:rFonts w:ascii="Arial" w:hAnsi="Arial"/>
          <w:b w:val="0"/>
          <w:i w:val="0"/>
          <w:sz w:val="24"/>
        </w:rPr>
        <w:t>Llena los campos editables, elimina los párrafos de refutación que no correspondan a lo que la autoridad haya dicho y revisa que cada dato coincida con tus documentos.</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negó, en todo o en parte, la devolución.</w:t>
      </w:r>
    </w:p>
    <w:p>
      <w:pPr>
        <w:spacing w:line="360" w:lineRule="auto"/>
        <w:jc w:val="both"/>
      </w:pPr>
      <w:r>
        <w:rPr>
          <w:rFonts w:ascii="Arial" w:hAnsi="Arial"/>
          <w:b/>
          <w:i w:val="0"/>
          <w:sz w:val="24"/>
        </w:rPr>
        <w:t>[AUTORIDAD DEMANDADA]</w:t>
      </w:r>
      <w:r>
        <w:rPr>
          <w:rFonts w:ascii="Arial" w:hAnsi="Arial"/>
          <w:b w:val="0"/>
          <w:i w:val="0"/>
          <w:sz w:val="24"/>
        </w:rPr>
        <w:t>: la unidad administrativa del SAT que emitió el oficio, con su denominación completa.</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se notificó el oficio; de ella depende el cómputo del plazo.</w:t>
      </w:r>
    </w:p>
    <w:p>
      <w:pPr>
        <w:spacing w:line="360" w:lineRule="auto"/>
        <w:jc w:val="both"/>
      </w:pPr>
      <w:r>
        <w:rPr>
          <w:rFonts w:ascii="Arial" w:hAnsi="Arial"/>
          <w:b/>
          <w:i w:val="0"/>
          <w:sz w:val="24"/>
        </w:rPr>
        <w:t>[EJERCICIO FISCAL]</w:t>
      </w:r>
      <w:r>
        <w:rPr>
          <w:rFonts w:ascii="Arial" w:hAnsi="Arial"/>
          <w:b w:val="0"/>
          <w:i w:val="0"/>
          <w:sz w:val="24"/>
        </w:rPr>
        <w:t>: el año del impuesto cuyo saldo a favor se pidió.</w:t>
      </w:r>
    </w:p>
    <w:p>
      <w:pPr>
        <w:spacing w:line="360" w:lineRule="auto"/>
        <w:jc w:val="both"/>
      </w:pPr>
      <w:r>
        <w:rPr>
          <w:rFonts w:ascii="Arial" w:hAnsi="Arial"/>
          <w:b/>
          <w:i w:val="0"/>
          <w:sz w:val="24"/>
        </w:rPr>
        <w:t>[NÚMERO DE CONTROL DE LA SOLICITUD DE DEVOLUCIÓN]</w:t>
      </w:r>
      <w:r>
        <w:rPr>
          <w:rFonts w:ascii="Arial" w:hAnsi="Arial"/>
          <w:b w:val="0"/>
          <w:i w:val="0"/>
          <w:sz w:val="24"/>
        </w:rPr>
        <w:t>: el número de control que asignó el SAT a la solicitud.</w:t>
      </w:r>
    </w:p>
    <w:p>
      <w:pPr>
        <w:spacing w:line="360" w:lineRule="auto"/>
        <w:jc w:val="both"/>
      </w:pPr>
      <w:r>
        <w:rPr>
          <w:rFonts w:ascii="Arial" w:hAnsi="Arial"/>
          <w:b/>
          <w:i w:val="0"/>
          <w:sz w:val="24"/>
        </w:rPr>
        <w:t>[MONTO DEL SALDO A FAVOR SOLICITADO]</w:t>
      </w:r>
      <w:r>
        <w:rPr>
          <w:rFonts w:ascii="Arial" w:hAnsi="Arial"/>
          <w:b w:val="0"/>
          <w:i w:val="0"/>
          <w:sz w:val="24"/>
        </w:rPr>
        <w:t>: la cantidad pedida en la solicitud, con número y letra.</w:t>
      </w:r>
    </w:p>
    <w:p>
      <w:pPr>
        <w:spacing w:line="360" w:lineRule="auto"/>
        <w:jc w:val="both"/>
      </w:pPr>
      <w:r>
        <w:rPr>
          <w:rFonts w:ascii="Arial" w:hAnsi="Arial"/>
          <w:b/>
          <w:i w:val="0"/>
          <w:sz w:val="24"/>
        </w:rPr>
        <w:t>[MONTO NEGADO]</w:t>
      </w:r>
      <w:r>
        <w:rPr>
          <w:rFonts w:ascii="Arial" w:hAnsi="Arial"/>
          <w:b w:val="0"/>
          <w:i w:val="0"/>
          <w:sz w:val="24"/>
        </w:rPr>
        <w:t>: la parte que la autoridad no autorizó (o el total, si la negativa fue completa).</w:t>
      </w:r>
    </w:p>
    <w:p>
      <w:pPr>
        <w:spacing w:line="360" w:lineRule="auto"/>
        <w:jc w:val="both"/>
      </w:pPr>
      <w:r>
        <w:rPr>
          <w:rFonts w:ascii="Arial" w:hAnsi="Arial"/>
          <w:b/>
          <w:i w:val="0"/>
          <w:sz w:val="24"/>
        </w:rPr>
        <w:t>[MONTO DEL PAGO ÚNICO]</w:t>
      </w:r>
      <w:r>
        <w:rPr>
          <w:rFonts w:ascii="Arial" w:hAnsi="Arial"/>
          <w:b w:val="0"/>
          <w:i w:val="0"/>
          <w:sz w:val="24"/>
        </w:rPr>
        <w:t>: la cantidad que la AFORE entregó en una sola exhibición.</w:t>
      </w:r>
    </w:p>
    <w:p>
      <w:pPr>
        <w:spacing w:line="360" w:lineRule="auto"/>
        <w:jc w:val="both"/>
      </w:pPr>
      <w:r>
        <w:rPr>
          <w:rFonts w:ascii="Arial" w:hAnsi="Arial"/>
          <w:b/>
          <w:i w:val="0"/>
          <w:sz w:val="24"/>
        </w:rPr>
        <w:t>[DENOMINACIÓN DE LA ADMINISTRADORA DE FONDOS PARA EL RETIRO]</w:t>
      </w:r>
      <w:r>
        <w:rPr>
          <w:rFonts w:ascii="Arial" w:hAnsi="Arial"/>
          <w:b w:val="0"/>
          <w:i w:val="0"/>
          <w:sz w:val="24"/>
        </w:rPr>
        <w:t>: la razón social de la AFORE que entregó los recursos.</w:t>
      </w:r>
    </w:p>
    <w:p>
      <w:pPr>
        <w:spacing w:line="360" w:lineRule="auto"/>
        <w:jc w:val="both"/>
      </w:pPr>
      <w:r>
        <w:rPr>
          <w:rFonts w:ascii="Arial" w:hAnsi="Arial"/>
          <w:b/>
          <w:i w:val="0"/>
          <w:sz w:val="24"/>
        </w:rPr>
        <w:t>[PRECEPTO DE LA LEY DEL ISSSTE QUE PREVÉ LA MODALIDAD DE PAGO]</w:t>
      </w:r>
      <w:r>
        <w:rPr>
          <w:rFonts w:ascii="Arial" w:hAnsi="Arial"/>
          <w:b w:val="0"/>
          <w:i w:val="0"/>
          <w:sz w:val="24"/>
        </w:rPr>
        <w:t>: el artículo de la Ley del ISSSTE con el que se ejerció la opción de recibir los recursos en una sola exhibición; cópialo de la resolución de pensión o de la solicitud de disposición y verifícalo contra el texto vigente.</w:t>
      </w:r>
    </w:p>
    <w:p>
      <w:pPr>
        <w:spacing w:line="360" w:lineRule="auto"/>
        <w:jc w:val="both"/>
      </w:pPr>
      <w:r>
        <w:rPr>
          <w:rFonts w:ascii="Arial" w:hAnsi="Arial"/>
          <w:b/>
          <w:i w:val="0"/>
          <w:sz w:val="24"/>
        </w:rPr>
        <w:t>[ANEXOS O FOLIOS DONDE CONSTAN LAS DOCUMENTALES]</w:t>
      </w:r>
      <w:r>
        <w:rPr>
          <w:rFonts w:ascii="Arial" w:hAnsi="Arial"/>
          <w:b w:val="0"/>
          <w:i w:val="0"/>
          <w:sz w:val="24"/>
        </w:rPr>
        <w:t>: los anexos de tu demanda o los folios del expediente administrativo donde están el historial de cotización, la constancia de traspaso, la solicitud de disposición, la constancia de retenciones y la explicación del saldo a favor.</w:t>
      </w:r>
    </w:p>
    <w:p>
      <w:pPr>
        <w:spacing w:line="360" w:lineRule="auto"/>
        <w:jc w:val="both"/>
      </w:pPr>
      <w:r>
        <w:rPr>
          <w:rFonts w:ascii="Arial" w:hAnsi="Arial"/>
          <w:b/>
          <w:i w:val="0"/>
          <w:sz w:val="24"/>
        </w:rPr>
        <w:t>[AÑOS DE SERVICIO CONSIDERADOS POR LA AUTORIDAD]</w:t>
      </w:r>
      <w:r>
        <w:rPr>
          <w:rFonts w:ascii="Arial" w:hAnsi="Arial"/>
          <w:b w:val="0"/>
          <w:i w:val="0"/>
          <w:sz w:val="24"/>
        </w:rPr>
        <w:t>: los años de servicio que la autoridad usó para calcular el tope de exención; tómalos del propio oficio.</w:t>
      </w:r>
    </w:p>
    <w:p>
      <w:pPr>
        <w:spacing w:line="360" w:lineRule="auto"/>
        <w:jc w:val="both"/>
      </w:pPr>
      <w:r>
        <w:rPr>
          <w:rFonts w:ascii="Arial" w:hAnsi="Arial"/>
          <w:b/>
          <w:i w:val="0"/>
          <w:sz w:val="24"/>
        </w:rPr>
        <w:t>[ANEXO DEL CÁLCULO CONCILIADO]</w:t>
      </w:r>
      <w:r>
        <w:rPr>
          <w:rFonts w:ascii="Arial" w:hAnsi="Arial"/>
          <w:b w:val="0"/>
          <w:i w:val="0"/>
          <w:sz w:val="24"/>
        </w:rPr>
        <w:t>: el anexo con tu cálculo completo: monto solicitado, retenciones, demás ingresos, acreditamientos, parte exenta, excedente, saldo autorizado y diferencia a devolver.</w:t>
      </w:r>
    </w:p>
    <w:p/>
    <w:p>
      <w:pPr>
        <w:spacing w:line="360" w:lineRule="auto"/>
        <w:jc w:val="both"/>
      </w:pPr>
      <w:r>
        <w:rPr>
          <w:rFonts w:ascii="Arial" w:hAnsi="Arial"/>
          <w:b/>
          <w:sz w:val="28"/>
        </w:rPr>
        <w:t>[NÚMERO ORDINAL DEL CONCEPTO] CONCEPTO DE IMPUGNACIÓN. La negativa a reintegrar el saldo a favor del ejercicio dejó de aplicar la regla especial del artículo 171 del Reglamento de la Ley del Impuesto sobre la Renta al pago único por jubilación que la parte actora recibió con recursos de su cuenta individual del sistema de ahorro para el retiro, por lo que se actualiza la causal de ilegalidad prevista en la fracción IV del numeral 51 de la Ley Federal de Procedimiento Contencioso Administrativo y procede reconocer su derecho subjetivo a recuperar la contribución retenida en exceso.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mediante la cual se negó, en todo o en parte, la solicitud identificada con el número de control </w:t>
      </w:r>
      <w:r>
        <w:rPr>
          <w:rFonts w:ascii="Arial" w:hAnsi="Arial"/>
          <w:b/>
          <w:i w:val="0"/>
          <w:sz w:val="28"/>
        </w:rPr>
        <w:t>[NÚMERO DE CONTROL DE LA SOLICITUD DE DEVOLUCIÓN]</w:t>
      </w:r>
      <w:r>
        <w:rPr>
          <w:rFonts w:ascii="Arial" w:hAnsi="Arial"/>
          <w:b w:val="0"/>
          <w:i w:val="0"/>
          <w:sz w:val="28"/>
        </w:rPr>
        <w:t xml:space="preserve">, relativa al impuesto sobre la renta del ejercicio </w:t>
      </w:r>
      <w:r>
        <w:rPr>
          <w:rFonts w:ascii="Arial" w:hAnsi="Arial"/>
          <w:b/>
          <w:i w:val="0"/>
          <w:sz w:val="28"/>
        </w:rPr>
        <w:t>[EJERCICIO FISCAL]</w:t>
      </w:r>
      <w:r>
        <w:rPr>
          <w:rFonts w:ascii="Arial" w:hAnsi="Arial"/>
          <w:b w:val="0"/>
          <w:i w:val="0"/>
          <w:sz w:val="28"/>
        </w:rPr>
        <w:t>, descansa en una calificación equivocada del ingreso que originó la cantidad reclamada y, por ello, en un cálculo ajeno al régimen jurídico aplicable.</w:t>
      </w:r>
    </w:p>
    <w:p>
      <w:pPr>
        <w:spacing w:line="360" w:lineRule="auto"/>
        <w:jc w:val="both"/>
      </w:pPr>
      <w:r>
        <w:rPr>
          <w:rFonts w:ascii="Arial" w:hAnsi="Arial"/>
          <w:b w:val="0"/>
          <w:i w:val="0"/>
          <w:sz w:val="28"/>
        </w:rPr>
        <w:t xml:space="preserve">La cantidad de </w:t>
      </w:r>
      <w:r>
        <w:rPr>
          <w:rFonts w:ascii="Arial" w:hAnsi="Arial"/>
          <w:b/>
          <w:i w:val="0"/>
          <w:sz w:val="28"/>
        </w:rPr>
        <w:t>[MONTO DEL PAGO ÚNICO]</w:t>
      </w:r>
      <w:r>
        <w:rPr>
          <w:rFonts w:ascii="Arial" w:hAnsi="Arial"/>
          <w:b w:val="0"/>
          <w:i w:val="0"/>
          <w:sz w:val="28"/>
        </w:rPr>
        <w:t xml:space="preserve"> que la parte actora recibió en una sola exhibición, por conducto de </w:t>
      </w:r>
      <w:r>
        <w:rPr>
          <w:rFonts w:ascii="Arial" w:hAnsi="Arial"/>
          <w:b/>
          <w:i w:val="0"/>
          <w:sz w:val="28"/>
        </w:rPr>
        <w:t>[DENOMINACIÓN DE LA ADMINISTRADORA DE FONDOS PARA EL RETIRO]</w:t>
      </w:r>
      <w:r>
        <w:rPr>
          <w:rFonts w:ascii="Arial" w:hAnsi="Arial"/>
          <w:b w:val="0"/>
          <w:i w:val="0"/>
          <w:sz w:val="28"/>
        </w:rPr>
        <w:t>, tuvo su origen en el ejercicio de sus derechos pensionarios conforme a la Ley del Instituto de Seguridad y Servicios Sociales de los Trabajadores del Estado y constituyó un pago único por jubilación. Para ese supuesto, el artículo 171 del Reglamento de la Ley del Impuesto sobre la Renta fija la parte exenta y remite al numeral 95 de la ley por el excedente; la autoridad, sin embargo, calculó la exención y el tributo anual sin aplicar esa regla.</w:t>
      </w:r>
    </w:p>
    <w:p>
      <w:pPr>
        <w:spacing w:line="360" w:lineRule="auto"/>
        <w:jc w:val="both"/>
      </w:pPr>
      <w:r>
        <w:rPr>
          <w:rFonts w:ascii="Arial" w:hAnsi="Arial"/>
          <w:b w:val="0"/>
          <w:i w:val="0"/>
          <w:sz w:val="28"/>
        </w:rPr>
        <w:t>Al prescindir de la disposición especial, la demandada utilizó un límite de exención distinto del que correspondía a la percepción, lo que actualiza la causal de ilegalidad del artículo 51, fracción IV, de la Ley Federal de Procedimiento Contencioso Administrativo. Como la parte actora acredita además los hechos en que se apoya su pretensión, procede anular el oficio y, conforme al inciso a) de la fracción V del numeral 52 del mismo ordenamiento, reconocer su derecho subjetivo a que la solicitud se determine con la norma reglamentaria y condenar a reintegrar lo retenido en exceso.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DE OFICIO DE LA RESOLUCIÓN IMPUGNADA]</w:t>
      </w:r>
      <w:r>
        <w:rPr>
          <w:rFonts w:ascii="Arial" w:hAnsi="Arial"/>
          <w:b w:val="0"/>
          <w:i w:val="0"/>
          <w:sz w:val="28"/>
        </w:rPr>
        <w:t xml:space="preserve">, notificada el </w:t>
      </w:r>
      <w:r>
        <w:rPr>
          <w:rFonts w:ascii="Arial" w:hAnsi="Arial"/>
          <w:b/>
          <w:i w:val="0"/>
          <w:sz w:val="28"/>
        </w:rPr>
        <w:t>[FECHA DE NOTIFICACIÓN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respecto de un saldo a favor solicitado por </w:t>
      </w:r>
      <w:r>
        <w:rPr>
          <w:rFonts w:ascii="Arial" w:hAnsi="Arial"/>
          <w:b/>
          <w:i w:val="0"/>
          <w:sz w:val="28"/>
        </w:rPr>
        <w:t>[MONTO DEL SALDO A FAVOR SOLICITADO]</w:t>
      </w:r>
      <w:r>
        <w:rPr>
          <w:rFonts w:ascii="Arial" w:hAnsi="Arial"/>
          <w:b w:val="0"/>
          <w:i w:val="0"/>
          <w:sz w:val="28"/>
        </w:rPr>
        <w:t xml:space="preserve">, negó la cantidad de </w:t>
      </w:r>
      <w:r>
        <w:rPr>
          <w:rFonts w:ascii="Arial" w:hAnsi="Arial"/>
          <w:b/>
          <w:i w:val="0"/>
          <w:sz w:val="28"/>
        </w:rPr>
        <w:t>[MONTO NEGADO]</w:t>
      </w:r>
      <w:r>
        <w:rPr>
          <w:rFonts w:ascii="Arial" w:hAnsi="Arial"/>
          <w:b w:val="0"/>
          <w:i w:val="0"/>
          <w:sz w:val="28"/>
        </w:rPr>
        <w:t>. Para ello invocó los artículos 93, fracción XIII, 95 y 152 de la Ley del Impuesto sobre la Renta, con los que calculó el ingreso exento, el acumulable y el que no lo es, sin pronunciarse sobre la regla reglamentaria del pago único por jubilación.</w:t>
      </w:r>
    </w:p>
    <w:p>
      <w:pPr>
        <w:spacing w:line="360" w:lineRule="auto"/>
        <w:jc w:val="both"/>
      </w:pPr>
      <w:r>
        <w:rPr>
          <w:rFonts w:ascii="Arial" w:hAnsi="Arial"/>
          <w:b w:val="0"/>
          <w:i w:val="0"/>
          <w:sz w:val="28"/>
        </w:rPr>
        <w:t xml:space="preserve">Las normas cuya inobservancia se plantea, en el texto vigente durante el ejercicio </w:t>
      </w:r>
      <w:r>
        <w:rPr>
          <w:rFonts w:ascii="Arial" w:hAnsi="Arial"/>
          <w:b/>
          <w:i w:val="0"/>
          <w:sz w:val="28"/>
        </w:rPr>
        <w:t>[EJERCICIO FISCAL]</w:t>
      </w:r>
      <w:r>
        <w:rPr>
          <w:rFonts w:ascii="Arial" w:hAnsi="Arial"/>
          <w:b w:val="0"/>
          <w:i w:val="0"/>
          <w:sz w:val="28"/>
        </w:rPr>
        <w:t>, son el artículo 171 del Reglamento de la Ley del Impuesto sobre la Renta, en relación con los preceptos 93, fracción XIII, y 95 de la ley a los que remite; la fracción IV del numeral 38 del Código Fiscal de la Federación, que exige que los actos administrativos que deban notificarse estén fundados y motivados; y el párrafo primero del dispositivo 16 de la Constitución Política de los Estados Unidos Mexicanos, que impone esa misma exigencia a todo acto de molestia.</w:t>
      </w:r>
    </w:p>
    <w:p>
      <w:pPr>
        <w:spacing w:line="360" w:lineRule="auto"/>
        <w:jc w:val="both"/>
      </w:pPr>
      <w:r>
        <w:rPr>
          <w:rFonts w:ascii="Arial" w:hAnsi="Arial"/>
          <w:b w:val="0"/>
          <w:i w:val="0"/>
          <w:sz w:val="28"/>
        </w:rPr>
        <w:t>El perjuicio es directo, porque la autoridad conserva una parte del tributo retenido que, aplicada la regla correcta, debe reintegrarse a la parte actora. De prosperar este concepto, el beneficio comprende, además de la anulación del oficio, el reconocimiento del derecho a que la solicitud se determine con el régimen aplicable y la condena a restituir lo que resulte, sin que la autoridad pueda volver a discutir la naturaleza del ingreso.</w:t>
      </w:r>
    </w:p>
    <w:p>
      <w:pPr>
        <w:spacing w:line="360" w:lineRule="auto"/>
        <w:jc w:val="both"/>
      </w:pPr>
      <w:r>
        <w:rPr>
          <w:rFonts w:ascii="Arial" w:hAnsi="Arial"/>
          <w:b w:val="0"/>
          <w:i w:val="0"/>
          <w:sz w:val="28"/>
        </w:rPr>
        <w:t>La demanda se presenta dentro de los treinta días que señalan tanto la fracción I del numeral 13 de la Ley Federal de Procedimiento Contencioso Administrativo, para la vía ordinaria, como el párrafo tercero del artículo 58-2, para la sumaria, que, conforme a la fracción VI de este último precepto, adicionada por la reforma publicada en el Diario Oficial de la Federación el 9 de junio de 2026, procede contra las respuestas de las autoridades fiscales federales a solicitudes de devolución cuyo importe no rebase el tope de cuantía con que abre ese dispositivo.</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La exigencia de fundar y motivar no se satisface con la sola cita de preceptos. La doctrina dedicada al razonamiento lógico en la justicia administrativa explica que toda determinación de autoridad debe contener un mínimo de razonabilidad, integrado por el apoyo en la norma que objetivamente rige el caso y por una motivación que justifique la adecuación lógica entre los motivos aducidos y esa norma.</w:t>
      </w:r>
      <w:r>
        <w:rPr>
          <w:rFonts w:ascii="Arial" w:hAnsi="Arial"/>
          <w:vertAlign w:val="superscript"/>
        </w:rPr>
        <w:t>1</w:t>
      </w:r>
      <w:r>
        <w:rPr>
          <w:rFonts w:ascii="Arial" w:hAnsi="Arial"/>
          <w:b w:val="0"/>
          <w:i w:val="0"/>
          <w:sz w:val="28"/>
        </w:rPr>
        <w:t xml:space="preserve"> Cuando la emisora cita disposiciones vigentes pero omite la que gobierna la hipótesis concreta, el oficio exhibe razones desajustadas respecto del supuesto que debía resolver.</w:t>
      </w:r>
    </w:p>
    <w:p>
      <w:pPr>
        <w:spacing w:line="360" w:lineRule="auto"/>
        <w:jc w:val="both"/>
      </w:pPr>
      <w:r>
        <w:rPr>
          <w:rFonts w:ascii="Arial" w:hAnsi="Arial"/>
          <w:b w:val="0"/>
          <w:i w:val="0"/>
          <w:sz w:val="28"/>
        </w:rPr>
        <w:t xml:space="preserve">En el juicio de nulidad, ese desajuste tiene una causal propia. Conforme a la fracción IV del artículo 51 de la Ley Federal de Procedimiento Contencioso Administrativo, una resolución es ilegal cuando </w:t>
      </w:r>
      <w:r>
        <w:rPr>
          <w:rFonts w:ascii="Arial" w:hAnsi="Arial"/>
          <w:b w:val="0"/>
          <w:i/>
          <w:sz w:val="28"/>
        </w:rPr>
        <w:t>“se dictó en contravención de las disposiciones aplicadas o dejó de aplicar las debidas, en cuanto al fondo del asunto”</w:t>
      </w:r>
      <w:r>
        <w:rPr>
          <w:rFonts w:ascii="Arial" w:hAnsi="Arial"/>
          <w:b w:val="0"/>
          <w:i w:val="0"/>
          <w:sz w:val="28"/>
        </w:rPr>
        <w:t>. La hipótesis de este concepto encaja en la segunda parte de esa porción normativa: la autoridad no aplicó la disposición que correspondía al ingreso y, por ese motivo, empleó en forma incompleta las que sí invocó.</w:t>
      </w:r>
    </w:p>
    <w:p>
      <w:pPr>
        <w:spacing w:line="360" w:lineRule="auto"/>
        <w:jc w:val="both"/>
      </w:pPr>
      <w:r>
        <w:rPr>
          <w:rFonts w:ascii="Arial" w:hAnsi="Arial"/>
          <w:b w:val="0"/>
          <w:i w:val="0"/>
          <w:sz w:val="28"/>
        </w:rPr>
        <w:t xml:space="preserve">El marco aplicable tiene varias piezas. La fracción XIII del artículo 93 de la Ley del Impuesto sobre la Renta exime, entre otros, los ingresos que perciban los trabajadores al servicio del Estado con cargo a la cuenta individual del sistema de ahorro para el retiro, </w:t>
      </w:r>
      <w:r>
        <w:rPr>
          <w:rFonts w:ascii="Arial" w:hAnsi="Arial"/>
          <w:b w:val="0"/>
          <w:i/>
          <w:sz w:val="28"/>
        </w:rPr>
        <w:t>“hasta por el equivalente a noventa veces el salario mínimo general del área geográfica del contribuyente por cada año de servicio o de contribución”</w:t>
      </w:r>
      <w:r>
        <w:rPr>
          <w:rFonts w:ascii="Arial" w:hAnsi="Arial"/>
          <w:b w:val="0"/>
          <w:i w:val="0"/>
          <w:sz w:val="28"/>
        </w:rPr>
        <w:t>; el numeral 95 regula el cálculo del tributo anual sobre las percepciones por separación, y el 152 contiene la tarifa y las reglas generales con que las personas físicas determinan su obligación del ejercicio.</w:t>
      </w:r>
    </w:p>
    <w:p>
      <w:pPr>
        <w:spacing w:line="360" w:lineRule="auto"/>
        <w:jc w:val="both"/>
      </w:pPr>
      <w:r>
        <w:rPr>
          <w:rFonts w:ascii="Arial" w:hAnsi="Arial"/>
          <w:b w:val="0"/>
          <w:i w:val="0"/>
          <w:sz w:val="28"/>
        </w:rPr>
        <w:t>Junto a esas disposiciones, el artículo 171 del Reglamento de la Ley del Impuesto sobre la Renta prevé la regla especial para la jubilación, pensión o haber de retiro cubiertos en una sola exhibición, en los siguientes términos:</w:t>
      </w:r>
    </w:p>
    <w:p>
      <w:pPr>
        <w:spacing w:line="360" w:lineRule="auto"/>
        <w:jc w:val="both"/>
      </w:pPr>
      <w:r>
        <w:rPr>
          <w:rFonts w:ascii="Arial" w:hAnsi="Arial"/>
          <w:b w:val="0"/>
          <w:i/>
          <w:sz w:val="28"/>
        </w:rPr>
        <w:t>“Cuando el trabajador convenga con el empleador en que el pago de la jubilación, pensión o haber de retiro, se cubra mediante pago único, no se pagará el Impuesto por éste, cuando el monto de dicho pago no exceda de noventa veces el salario mínimo general del área geográfica del trabajador elevados al año, a que se refiere el artículo 93, fracción XIII de la Ley. Por el excedente se pagará el Impuesto en términos del artículo 95 de la Ley.”</w:t>
      </w:r>
    </w:p>
    <w:p>
      <w:pPr>
        <w:spacing w:line="360" w:lineRule="auto"/>
        <w:jc w:val="both"/>
      </w:pPr>
      <w:r>
        <w:rPr>
          <w:rFonts w:ascii="Arial" w:hAnsi="Arial"/>
          <w:b w:val="0"/>
          <w:i w:val="0"/>
          <w:sz w:val="28"/>
        </w:rPr>
        <w:t>Estas normas no compiten entre sí. La teoría de la interpretación identifica, como la forma más simple del argumento sistemático, la combinación de fragmentos de distintas disposiciones para obtener una norma completa.</w:t>
      </w:r>
      <w:r>
        <w:rPr>
          <w:rFonts w:ascii="Arial" w:hAnsi="Arial"/>
          <w:vertAlign w:val="superscript"/>
        </w:rPr>
        <w:t>2</w:t>
      </w:r>
      <w:r>
        <w:rPr>
          <w:rFonts w:ascii="Arial" w:hAnsi="Arial"/>
          <w:b w:val="0"/>
          <w:i w:val="0"/>
          <w:sz w:val="28"/>
        </w:rPr>
        <w:t xml:space="preserve"> Eso ocurre aquí, pues el precepto reglamentario toma de la fracción XIII del numeral 93 el referente del límite, remite al 95 para gravar el excedente y deja al 152 la función que le corresponde en el cálculo anual; la regulación íntegra del pago único sólo se obtiene leyéndolas en conjunto y en ese orden.</w:t>
      </w:r>
    </w:p>
    <w:p>
      <w:pPr>
        <w:spacing w:line="360" w:lineRule="auto"/>
        <w:jc w:val="both"/>
      </w:pPr>
      <w:r>
        <w:rPr>
          <w:rFonts w:ascii="Arial" w:hAnsi="Arial"/>
          <w:b w:val="0"/>
          <w:i w:val="0"/>
          <w:sz w:val="28"/>
        </w:rPr>
        <w:t xml:space="preserve">Esa lectura conjunta es también la que impone el principio de legalidad. El artículo 89, fracción I, de la Constitución confiere al titular del Ejecutivo Federal la facultad de ejecutar las leyes del Congreso de la Unión </w:t>
      </w:r>
      <w:r>
        <w:rPr>
          <w:rFonts w:ascii="Arial" w:hAnsi="Arial"/>
          <w:b w:val="0"/>
          <w:i/>
          <w:sz w:val="28"/>
        </w:rPr>
        <w:t>“proveyendo en la esfera administrativa a su exacta observancia”</w:t>
      </w:r>
      <w:r>
        <w:rPr>
          <w:rFonts w:ascii="Arial" w:hAnsi="Arial"/>
          <w:b w:val="0"/>
          <w:i w:val="0"/>
          <w:sz w:val="28"/>
        </w:rPr>
        <w:t>, y el reglamento es el instrumento con que lo hace; la autoridad fiscal, que sólo puede actuar conforme a las normas que la rigen, no está en libertad de resolver como si no existiera la disposición que pormenoriza el tratamiento de la percepción que examina.</w:t>
      </w:r>
    </w:p>
    <w:p>
      <w:pPr>
        <w:spacing w:line="360" w:lineRule="auto"/>
        <w:jc w:val="both"/>
      </w:pPr>
      <w:r>
        <w:rPr>
          <w:rFonts w:ascii="Arial" w:hAnsi="Arial"/>
          <w:b w:val="0"/>
          <w:i w:val="0"/>
          <w:sz w:val="28"/>
        </w:rPr>
        <w:t xml:space="preserve">La aplicación del artículo 171 depende de dos extremos materiales: que la percepción derive de una jubilación, pensión o haber de retiro y que esa prestación se haya cubierto mediante pago único. El acuerdo entre trabajador y empleador que menciona el precepto se refiere a la modalidad de pago y no exige un documento autónomo denominado </w:t>
      </w:r>
      <w:r>
        <w:rPr>
          <w:rFonts w:ascii="Arial" w:hAnsi="Arial"/>
          <w:b w:val="0"/>
          <w:i/>
          <w:sz w:val="28"/>
        </w:rPr>
        <w:t>“convenio”</w:t>
      </w:r>
      <w:r>
        <w:rPr>
          <w:rFonts w:ascii="Arial" w:hAnsi="Arial"/>
          <w:b w:val="0"/>
          <w:i w:val="0"/>
          <w:sz w:val="28"/>
        </w:rPr>
        <w:t>; cuando el régimen pensionario prevé la entrega en una sola exhibición y la persona trabajadora la elige, esa aceptación colma la exigencia normativa, criterio que una Sala Regional de este Tribunal acogió en un asunto análogo, con valor ilustrativo.</w:t>
      </w:r>
    </w:p>
    <w:p>
      <w:pPr>
        <w:spacing w:line="360" w:lineRule="auto"/>
        <w:jc w:val="both"/>
      </w:pPr>
      <w:r>
        <w:rPr>
          <w:rFonts w:ascii="Arial" w:hAnsi="Arial"/>
          <w:b w:val="0"/>
          <w:i w:val="0"/>
          <w:sz w:val="28"/>
        </w:rPr>
        <w:t>La naturaleza del ingreso tampoco depende de la etiqueta que le asigne el retenedor en la constancia de pagos y retenciones. La doctrina del razonamiento judicial ubica la calificación jurídica de los hechos dentro del juicio de derecho, junto con la elección e interpretación del enunciado normativo y la subsunción.</w:t>
      </w:r>
      <w:r>
        <w:rPr>
          <w:rFonts w:ascii="Arial" w:hAnsi="Arial"/>
          <w:vertAlign w:val="superscript"/>
        </w:rPr>
        <w:t>3</w:t>
      </w:r>
      <w:r>
        <w:rPr>
          <w:rFonts w:ascii="Arial" w:hAnsi="Arial"/>
          <w:b w:val="0"/>
          <w:i w:val="0"/>
          <w:sz w:val="28"/>
        </w:rPr>
        <w:t xml:space="preserve"> Determinar si una percepción es indemnización, retiro ordinario de la cuenta individual o pago único por jubilación es, por consiguiente, una operación normativa que corresponde a la autoridad al resolver y, en sede jurisdiccional, a la Sala, a partir de lo que demuestren las constancias.</w:t>
      </w:r>
    </w:p>
    <w:p>
      <w:pPr>
        <w:spacing w:line="360" w:lineRule="auto"/>
        <w:jc w:val="both"/>
      </w:pPr>
      <w:r>
        <w:rPr>
          <w:rFonts w:ascii="Arial" w:hAnsi="Arial"/>
          <w:b w:val="0"/>
          <w:i w:val="0"/>
          <w:sz w:val="28"/>
        </w:rPr>
        <w:t>Por la misma razón, el peritaje contable no puede sustituir esa calificación. La doctrina procesal reconoce que la eficacia de un dictamen depende de que aporte al juzgador conocimientos especializados ajenos al derecho, y que corresponde al juez decidir si acoge sus conclusiones, las asume en parte o las adminicula con otras pruebas.</w:t>
      </w:r>
      <w:r>
        <w:rPr>
          <w:rFonts w:ascii="Arial" w:hAnsi="Arial"/>
          <w:vertAlign w:val="superscript"/>
        </w:rPr>
        <w:t>4</w:t>
      </w:r>
      <w:r>
        <w:rPr>
          <w:rFonts w:ascii="Arial" w:hAnsi="Arial"/>
          <w:b w:val="0"/>
          <w:i w:val="0"/>
          <w:sz w:val="28"/>
        </w:rPr>
        <w:t xml:space="preserve"> Esa idea coincide con la fracción III del artículo 46 de la Ley Federal de Procedimiento Contencioso Administrativo, que deja el valor de ese medio de convicción a la prudente apreciación de la Sala.</w:t>
      </w:r>
    </w:p>
    <w:p>
      <w:pPr>
        <w:spacing w:line="360" w:lineRule="auto"/>
        <w:jc w:val="both"/>
      </w:pPr>
      <w:r>
        <w:rPr>
          <w:rFonts w:ascii="Arial" w:hAnsi="Arial"/>
          <w:b w:val="0"/>
          <w:i w:val="0"/>
          <w:sz w:val="28"/>
        </w:rPr>
        <w:t xml:space="preserve">Finalmente, la pretensión de que se reconozca un derecho subjetivo exige algo más que evidenciar la ilegalidad del acto. El artículo 40 de la Ley Federal de Procedimiento Contencioso Administrativo impone a la parte actora probar los hechos de los que deriva lo que reclama, y el 50 del mismo ordenamiento obliga al Tribunal, antes de condenar a la devolución de una cantidad, a constatar </w:t>
      </w:r>
      <w:r>
        <w:rPr>
          <w:rFonts w:ascii="Arial" w:hAnsi="Arial"/>
          <w:b w:val="0"/>
          <w:i/>
          <w:sz w:val="28"/>
        </w:rPr>
        <w:t>“el derecho que tiene la persona particular”</w:t>
      </w:r>
      <w:r>
        <w:rPr>
          <w:rFonts w:ascii="Arial" w:hAnsi="Arial"/>
          <w:b w:val="0"/>
          <w:i w:val="0"/>
          <w:sz w:val="28"/>
        </w:rPr>
        <w:t>. Por ello este concepto acompaña la premisa normativa con la prueba de los dos extremos materiales del precepto reglamentario.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caso encuadran en ambos extremos. La parte actora, como persona trabajadora del sector público, cotizó al régimen de la Ley del Instituto de Seguridad y Servicios Sociales de los Trabajadores del Estado y, al ejercer sus derechos pensionarios, optó por recibir en una sola exhibición, conforme a </w:t>
      </w:r>
      <w:r>
        <w:rPr>
          <w:rFonts w:ascii="Arial" w:hAnsi="Arial"/>
          <w:b/>
          <w:i w:val="0"/>
          <w:sz w:val="28"/>
        </w:rPr>
        <w:t>[PRECEPTO DE LA LEY DEL ISSSTE QUE PREVÉ LA MODALIDAD DE PAGO]</w:t>
      </w:r>
      <w:r>
        <w:rPr>
          <w:rFonts w:ascii="Arial" w:hAnsi="Arial"/>
          <w:b w:val="0"/>
          <w:i w:val="0"/>
          <w:sz w:val="28"/>
        </w:rPr>
        <w:t xml:space="preserve">, los recursos de su cuenta individual en lugar de una pensión mensual; esos fondos le fueron entregados por </w:t>
      </w:r>
      <w:r>
        <w:rPr>
          <w:rFonts w:ascii="Arial" w:hAnsi="Arial"/>
          <w:b/>
          <w:i w:val="0"/>
          <w:sz w:val="28"/>
        </w:rPr>
        <w:t>[DENOMINACIÓN DE LA ADMINISTRADORA DE FONDOS PARA EL RETIRO]</w:t>
      </w:r>
      <w:r>
        <w:rPr>
          <w:rFonts w:ascii="Arial" w:hAnsi="Arial"/>
          <w:b w:val="0"/>
          <w:i w:val="0"/>
          <w:sz w:val="28"/>
        </w:rPr>
        <w:t xml:space="preserve"> por la cantidad de </w:t>
      </w:r>
      <w:r>
        <w:rPr>
          <w:rFonts w:ascii="Arial" w:hAnsi="Arial"/>
          <w:b/>
          <w:i w:val="0"/>
          <w:sz w:val="28"/>
        </w:rPr>
        <w:t>[MONTO DEL PAGO ÚNICO]</w:t>
      </w:r>
      <w:r>
        <w:rPr>
          <w:rFonts w:ascii="Arial" w:hAnsi="Arial"/>
          <w:b w:val="0"/>
          <w:i w:val="0"/>
          <w:sz w:val="28"/>
        </w:rPr>
        <w:t>.</w:t>
      </w:r>
    </w:p>
    <w:p>
      <w:pPr>
        <w:spacing w:line="360" w:lineRule="auto"/>
        <w:jc w:val="both"/>
      </w:pPr>
      <w:r>
        <w:rPr>
          <w:rFonts w:ascii="Arial" w:hAnsi="Arial"/>
          <w:b w:val="0"/>
          <w:i w:val="0"/>
          <w:sz w:val="28"/>
        </w:rPr>
        <w:t xml:space="preserve">Tales hechos constan en documentales que obran en </w:t>
      </w:r>
      <w:r>
        <w:rPr>
          <w:rFonts w:ascii="Arial" w:hAnsi="Arial"/>
          <w:b/>
          <w:i w:val="0"/>
          <w:sz w:val="28"/>
        </w:rPr>
        <w:t>[ANEXOS O FOLIOS DONDE CONSTAN LAS DOCUMENTALES]</w:t>
      </w:r>
      <w:r>
        <w:rPr>
          <w:rFonts w:ascii="Arial" w:hAnsi="Arial"/>
          <w:b w:val="0"/>
          <w:i w:val="0"/>
          <w:sz w:val="28"/>
        </w:rPr>
        <w:t>: el historial laboral y de cotización expedido por el Instituto, que acredita la incorporación al régimen pensionario; la constancia de traspaso a la administradora, que demuestra la procedencia de los fondos desde la cuenta individual; la solicitud de disposición de recursos, que vincula la operación con el seguro y la pensión correspondientes; la constancia de pagos y retenciones del ejercicio; y la explicación pormenorizada del origen del saldo a favor presentada al pedir la devolución.</w:t>
      </w:r>
    </w:p>
    <w:p>
      <w:pPr>
        <w:spacing w:line="360" w:lineRule="auto"/>
        <w:jc w:val="both"/>
      </w:pPr>
      <w:r>
        <w:rPr>
          <w:rFonts w:ascii="Arial" w:hAnsi="Arial"/>
          <w:b w:val="0"/>
          <w:i w:val="0"/>
          <w:sz w:val="28"/>
        </w:rPr>
        <w:t>Valoradas en conjunto, esas constancias forman un enlace probatorio suficiente para tener por demostrado que la percepción derivó del ejercicio de derechos pensionarios y que se cubrió mediante pago único, lo que descarta que se tratara de una indemnización por separación o de un retiro voluntario u ordinario de la cuenta individual. La intervención de la administradora fue el medio de entrega de los recursos y no alteró la naturaleza de la prestación.</w:t>
      </w:r>
    </w:p>
    <w:p>
      <w:pPr>
        <w:spacing w:line="360" w:lineRule="auto"/>
        <w:jc w:val="both"/>
      </w:pPr>
      <w:r>
        <w:rPr>
          <w:rFonts w:ascii="Arial" w:hAnsi="Arial"/>
          <w:b w:val="0"/>
          <w:i w:val="0"/>
          <w:sz w:val="28"/>
        </w:rPr>
        <w:t xml:space="preserve">Frente a esos hechos, la </w:t>
      </w:r>
      <w:r>
        <w:rPr>
          <w:rFonts w:ascii="Arial" w:hAnsi="Arial"/>
          <w:b/>
          <w:i w:val="0"/>
          <w:sz w:val="28"/>
        </w:rPr>
        <w:t>[AUTORIDAD DEMANDADA]</w:t>
      </w:r>
      <w:r>
        <w:rPr>
          <w:rFonts w:ascii="Arial" w:hAnsi="Arial"/>
          <w:b w:val="0"/>
          <w:i w:val="0"/>
          <w:sz w:val="28"/>
        </w:rPr>
        <w:t xml:space="preserve"> determinó la parte exenta con el tope de la fracción XIII del artículo 93 de la ley del impuesto, calculado por </w:t>
      </w:r>
      <w:r>
        <w:rPr>
          <w:rFonts w:ascii="Arial" w:hAnsi="Arial"/>
          <w:b/>
          <w:i w:val="0"/>
          <w:sz w:val="28"/>
        </w:rPr>
        <w:t>[AÑOS DE SERVICIO CONSIDERADOS POR LA AUTORIDAD]</w:t>
      </w:r>
      <w:r>
        <w:rPr>
          <w:rFonts w:ascii="Arial" w:hAnsi="Arial"/>
          <w:b w:val="0"/>
          <w:i w:val="0"/>
          <w:sz w:val="28"/>
        </w:rPr>
        <w:t xml:space="preserve"> años de servicio, y separó el ingreso acumulable del que no lo es conforme a los numerales 95 y 152, sin examinar si la percepción actualizaba el supuesto del precepto reglamentario. Ese silencio sobre la norma que regía el caso corresponde a la hipótesis legal de la resolución que </w:t>
      </w:r>
      <w:r>
        <w:rPr>
          <w:rFonts w:ascii="Arial" w:hAnsi="Arial"/>
          <w:b w:val="0"/>
          <w:i/>
          <w:sz w:val="28"/>
        </w:rPr>
        <w:t>“dejó de aplicar las debidas”</w:t>
      </w:r>
      <w:r>
        <w:rPr>
          <w:rFonts w:ascii="Arial" w:hAnsi="Arial"/>
          <w:b w:val="0"/>
          <w:i w:val="0"/>
          <w:sz w:val="28"/>
        </w:rPr>
        <w:t>.</w:t>
      </w:r>
    </w:p>
    <w:p>
      <w:pPr>
        <w:spacing w:line="360" w:lineRule="auto"/>
        <w:jc w:val="both"/>
      </w:pPr>
      <w:r>
        <w:rPr>
          <w:rFonts w:ascii="Arial" w:hAnsi="Arial"/>
          <w:b w:val="0"/>
          <w:i w:val="0"/>
          <w:sz w:val="28"/>
        </w:rPr>
        <w:t xml:space="preserve">La omisión trasciende al resultado. Mientras la fracción XIII del artículo 93 mide el tope de exención </w:t>
      </w:r>
      <w:r>
        <w:rPr>
          <w:rFonts w:ascii="Arial" w:hAnsi="Arial"/>
          <w:b w:val="0"/>
          <w:i/>
          <w:sz w:val="28"/>
        </w:rPr>
        <w:t>“por cada año de servicio o de contribución”</w:t>
      </w:r>
      <w:r>
        <w:rPr>
          <w:rFonts w:ascii="Arial" w:hAnsi="Arial"/>
          <w:b w:val="0"/>
          <w:i w:val="0"/>
          <w:sz w:val="28"/>
        </w:rPr>
        <w:t xml:space="preserve">, la regla reglamentaria lo expresa en noventa veces el salario mínimo </w:t>
      </w:r>
      <w:r>
        <w:rPr>
          <w:rFonts w:ascii="Arial" w:hAnsi="Arial"/>
          <w:b w:val="0"/>
          <w:i/>
          <w:sz w:val="28"/>
        </w:rPr>
        <w:t>“elevados al año”</w:t>
      </w:r>
      <w:r>
        <w:rPr>
          <w:rFonts w:ascii="Arial" w:hAnsi="Arial"/>
          <w:b w:val="0"/>
          <w:i w:val="0"/>
          <w:sz w:val="28"/>
        </w:rPr>
        <w:t xml:space="preserve">; al tomar un referente que no correspondía, la autoridad fijó otra parte exenta, con ello otro excedente gravable y, en consecuencia, un tributo anual y un saldo a favor ajenos al régimen aplicable, lo que se tradujo en la negativa de </w:t>
      </w:r>
      <w:r>
        <w:rPr>
          <w:rFonts w:ascii="Arial" w:hAnsi="Arial"/>
          <w:b/>
          <w:i w:val="0"/>
          <w:sz w:val="28"/>
        </w:rPr>
        <w:t>[MONTO NEGADO]</w:t>
      </w:r>
      <w:r>
        <w:rPr>
          <w:rFonts w:ascii="Arial" w:hAnsi="Arial"/>
          <w:b w:val="0"/>
          <w:i w:val="0"/>
          <w:sz w:val="28"/>
        </w:rPr>
        <w:t>.</w:t>
      </w:r>
    </w:p>
    <w:p>
      <w:pPr>
        <w:spacing w:line="360" w:lineRule="auto"/>
        <w:jc w:val="both"/>
      </w:pPr>
      <w:r>
        <w:rPr>
          <w:rFonts w:ascii="Arial" w:hAnsi="Arial"/>
          <w:b w:val="0"/>
          <w:i w:val="0"/>
          <w:sz w:val="28"/>
        </w:rPr>
        <w:t>Si la autoridad sostiene, en la resolución o al contestar la demanda, que nunca calificó el ingreso como indemnización y que, por ello, el planteamiento parte de una premisa falsa, esa defensa incurre en la falacia de eludir la cuestión o ignoratio elenchi, que consiste en probar algo diferente de lo que se discute.</w:t>
      </w:r>
      <w:r>
        <w:rPr>
          <w:rFonts w:ascii="Arial" w:hAnsi="Arial"/>
          <w:vertAlign w:val="superscript"/>
        </w:rPr>
        <w:t>5</w:t>
      </w:r>
      <w:r>
        <w:rPr>
          <w:rFonts w:ascii="Arial" w:hAnsi="Arial"/>
          <w:b w:val="0"/>
          <w:i w:val="0"/>
          <w:sz w:val="28"/>
        </w:rPr>
        <w:t xml:space="preserve"> La litis versa sobre el régimen con que se trató la percepción, cualquiera que haya sido el nombre que se le dio, y ese tratamiento fue el general de los pagos por separación, sin la regla especial del pago único por jubilación.</w:t>
      </w:r>
    </w:p>
    <w:p>
      <w:pPr>
        <w:spacing w:line="360" w:lineRule="auto"/>
        <w:jc w:val="both"/>
      </w:pPr>
      <w:r>
        <w:rPr>
          <w:rFonts w:ascii="Arial" w:hAnsi="Arial"/>
          <w:b w:val="0"/>
          <w:i w:val="0"/>
          <w:sz w:val="28"/>
        </w:rPr>
        <w:t>Tampoco es admisible el argumento de que, aun si el ingreso no fuera una indemnización, los artículos 93, fracción XIII, y 95 de la ley del impuesto resultarían igualmente aplicables. Ese razonamiento comete la falacia del secundum quid, o mala aplicación de una regla, que consiste en aplicar con rigidez una norma general como si no admitiera excepciones, olvidando que una circunstancia especial puede volverla inaplicable.</w:t>
      </w:r>
      <w:r>
        <w:rPr>
          <w:rFonts w:ascii="Arial" w:hAnsi="Arial"/>
          <w:vertAlign w:val="superscript"/>
        </w:rPr>
        <w:t>6</w:t>
      </w:r>
      <w:r>
        <w:rPr>
          <w:rFonts w:ascii="Arial" w:hAnsi="Arial"/>
          <w:b w:val="0"/>
          <w:i w:val="0"/>
          <w:sz w:val="28"/>
        </w:rPr>
        <w:t xml:space="preserve"> Ese factor es aquí el pago único por jubilación, cuya parte exenta tiene un tratamiento propio; los numerales legales siguen operando, pero en la función que el reglamento les asigna.</w:t>
      </w:r>
    </w:p>
    <w:p>
      <w:pPr>
        <w:spacing w:line="360" w:lineRule="auto"/>
        <w:jc w:val="both"/>
      </w:pPr>
      <w:r>
        <w:rPr>
          <w:rFonts w:ascii="Arial" w:hAnsi="Arial"/>
          <w:b w:val="0"/>
          <w:i w:val="0"/>
          <w:sz w:val="28"/>
        </w:rPr>
        <w:t>La idea de una irregularidad no invalidante tampoco encuentra apoyo en la ley procesal. El catálogo de vicios que no afectan las defensas ni trascienden al sentido de la resolución, previsto en el propio artículo 51 de la Ley Federal de Procedimiento Contencioso Administrativo, se refiere a las fracciones II y III de ese precepto, relativas a los requisitos formales y al trámite; el defecto aquí combatido es de fondo, porque recae sobre la norma sustantiva que determina cuánto tributo debe soportar la parte actora, y su trascendencia quedó demostrada al cambiar el límite de exención.</w:t>
      </w:r>
    </w:p>
    <w:p>
      <w:pPr>
        <w:spacing w:line="360" w:lineRule="auto"/>
        <w:jc w:val="both"/>
      </w:pPr>
      <w:r>
        <w:rPr>
          <w:rFonts w:ascii="Arial" w:hAnsi="Arial"/>
          <w:b w:val="0"/>
          <w:i w:val="0"/>
          <w:sz w:val="28"/>
        </w:rPr>
        <w:t xml:space="preserve">En cuanto al argumento de que el precepto reglamentario exige un convenio celebrado con el empleador, que la parte actora no habría suscrito porque los recursos le fueron entregados por la administradora de fondos para el retiro, debe destacarse, en primer lugar, que si esa razón no forma parte de la resolución impugnada no puede introducirse en el juicio, pues el artículo 22 de la Ley Federal de Procedimiento Contencioso Administrativo dispone: </w:t>
      </w:r>
      <w:r>
        <w:rPr>
          <w:rFonts w:ascii="Arial" w:hAnsi="Arial"/>
          <w:b w:val="0"/>
          <w:i/>
          <w:sz w:val="28"/>
        </w:rPr>
        <w:t>“En la contestación de la demanda no podrán cambiarse los fundamentos de derecho de la resolución impugnada.”</w:t>
      </w:r>
    </w:p>
    <w:p>
      <w:pPr>
        <w:spacing w:line="360" w:lineRule="auto"/>
        <w:jc w:val="both"/>
      </w:pPr>
      <w:r>
        <w:rPr>
          <w:rFonts w:ascii="Arial" w:hAnsi="Arial"/>
          <w:b w:val="0"/>
          <w:i w:val="0"/>
          <w:sz w:val="28"/>
        </w:rPr>
        <w:t>En segundo lugar, aun examinado en su contenido, ese argumento confunde el supuesto material de la norma con una formalidad documental que ésta no exige, como se razonó en la premisa mayor. En el caso, la solicitud de disposición de recursos y las demás constancias descritas muestran que la persona trabajadora eligió formalmente la entrega en una sola exhibición que su régimen pensionario prevé, elección que colma el acuerdo sobre la modalidad de pago al que alude el precepto; la administradora, por su parte, intervino sólo como vehículo de pago del sistema pensionario.</w:t>
      </w:r>
    </w:p>
    <w:p>
      <w:pPr>
        <w:spacing w:line="360" w:lineRule="auto"/>
        <w:jc w:val="both"/>
      </w:pPr>
      <w:r>
        <w:rPr>
          <w:rFonts w:ascii="Arial" w:hAnsi="Arial"/>
          <w:b w:val="0"/>
          <w:i w:val="0"/>
          <w:sz w:val="28"/>
        </w:rPr>
        <w:t>Por último, si la autoridad o algún dictamen pericial se apoyan en que la constancia de pagos y retenciones clasificó la percepción como indemnización, esa clasificación sólo acredita el tratamiento documental que le dio el retenedor; reproducir la etiqueta no equivale a un análisis técnico autónomo ni resuelve la cuestión jurídica, que corresponde a la Sala.</w:t>
      </w:r>
    </w:p>
    <w:p>
      <w:pPr>
        <w:spacing w:line="360" w:lineRule="auto"/>
        <w:jc w:val="both"/>
      </w:pPr>
      <w:r>
        <w:rPr>
          <w:rFonts w:ascii="Arial" w:hAnsi="Arial"/>
          <w:b w:val="0"/>
          <w:i w:val="0"/>
          <w:sz w:val="28"/>
        </w:rPr>
        <w:t xml:space="preserve">Con el propósito de que la Sala pueda condenar a una cantidad cierta, sin limitarse a ordenar que se rehagan las operaciones, la parte actora ofrece el cálculo conciliado que obra en </w:t>
      </w:r>
      <w:r>
        <w:rPr>
          <w:rFonts w:ascii="Arial" w:hAnsi="Arial"/>
          <w:b/>
          <w:i w:val="0"/>
          <w:sz w:val="28"/>
        </w:rPr>
        <w:t>[ANEXO DEL CÁLCULO CONCILIADO]</w:t>
      </w:r>
      <w:r>
        <w:rPr>
          <w:rFonts w:ascii="Arial" w:hAnsi="Arial"/>
          <w:b w:val="0"/>
          <w:i w:val="0"/>
          <w:sz w:val="28"/>
        </w:rPr>
        <w:t>, en el que se precisan el monto originalmente solicitado, el impuesto retenido, los demás ingresos del ejercicio, los acreditamientos, la parte exenta conforme al artículo 171 del reglamento, el excedente gravado conforme al numeral 95 de la ley, el saldo previamente autorizado y la diferencia que debe devolverse, con su actualización e intereses.</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percepción que originó el saldo a favor fue un pago único por jubilación derivado del ejercicio de derechos pensionarios; para fijar su parte exenta debía aplicarse la regla especial del artículo 171 del Reglamento de la Ley del Impuesto sobre la Renta, en coordinación con los numerales legales a los que remite; y la autoridad resolvió sin aplicarla, con un límite de exención que no correspondía, de modo que la resolución dejó de aplicar la disposición debida en cuanto al fondo.</w:t>
      </w:r>
    </w:p>
    <w:p>
      <w:pPr>
        <w:spacing w:line="360" w:lineRule="auto"/>
        <w:jc w:val="both"/>
      </w:pPr>
      <w:r>
        <w:rPr>
          <w:rFonts w:ascii="Arial" w:hAnsi="Arial"/>
          <w:b w:val="0"/>
          <w:i w:val="0"/>
          <w:sz w:val="28"/>
        </w:rPr>
        <w:t>Por lo expuesto, procede estimar fundado este concepto de impugnación y, con apoyo en los artículos 51, fracción IV, y 52, fracción V, inciso a), de la Ley Federal de Procedimiento Contencioso Administrativo, declarar la nulidad de la resolución impugnada, reconocer el derecho subjetivo de la parte actora a que su solicitud se determine conforme a la regla especial del pago único por jubilación, con el numeral 95 de la ley del impuesto aplicado sólo al excedente, y condenar a devolver la cantidad que resulte, con la actualización e intereses que procedan según los preceptos 22 y 22-A del Código Fiscal de la Federación.</w:t>
      </w:r>
    </w:p>
    <w:p>
      <w:pPr>
        <w:spacing w:line="360" w:lineRule="auto"/>
        <w:jc w:val="both"/>
      </w:pPr>
      <w:r>
        <w:rPr>
          <w:rFonts w:ascii="Arial" w:hAnsi="Arial"/>
          <w:b w:val="0"/>
          <w:i w:val="0"/>
          <w:sz w:val="28"/>
        </w:rPr>
        <w:t>Para el caso de que la Sala estime necesario que la autoridad verifique las cifras, se solicita que la nulidad se decrete para el efecto de que emita una nueva resolución en la que tenga por acreditado que la percepción constituyó un pago único por jubilación, determine la parte exenta conforme al precepto reglamentario, aplique la mecánica legal al excedente, fije el saldo a favor y lo devuelva con sus accesorios, dentro del plazo previsto en el artículo 52 de la ley procesal, sin que pueda volver a examinar la naturaleza del ingreso ni prescindir de la regla especial.</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 p. 58.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290.</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102.</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VÁZQUEZ, Carmen (coord.), </w:t>
      </w:r>
      <w:r>
        <w:rPr>
          <w:rFonts w:ascii="Arial" w:hAnsi="Arial"/>
          <w:i/>
          <w:sz w:val="20"/>
        </w:rPr>
        <w:t>Manual de prueba pericial</w:t>
      </w:r>
      <w:r>
        <w:rPr>
          <w:rFonts w:ascii="Arial" w:hAnsi="Arial"/>
          <w:i w:val="0"/>
          <w:sz w:val="20"/>
        </w:rPr>
        <w:t>, Suprema Corte de Justicia de la Nación, México, 2022, p. 26.</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84.</w:t>
      </w:r>
    </w:p>
    <w:p/>
    <w:p>
      <w:r>
        <w:rPr>
          <w:rFonts w:ascii="Arial" w:hAnsi="Arial"/>
          <w:b/>
          <w:sz w:val="22"/>
        </w:rPr>
        <w:t>BIBLIOGRAFÍA</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p>
      <w:pPr>
        <w:spacing w:after="60"/>
        <w:ind w:left="360" w:hanging="360"/>
        <w:jc w:val="both"/>
      </w:pPr>
      <w:r>
        <w:rPr>
          <w:rFonts w:ascii="Arial" w:hAnsi="Arial"/>
          <w:i w:val="0"/>
          <w:sz w:val="20"/>
        </w:rPr>
        <w:t xml:space="preserve">VÁZQUEZ, Carmen (coord.), </w:t>
      </w:r>
      <w:r>
        <w:rPr>
          <w:rFonts w:ascii="Arial" w:hAnsi="Arial"/>
          <w:i/>
          <w:sz w:val="20"/>
        </w:rPr>
        <w:t>Manual de prueba pericial</w:t>
      </w:r>
      <w:r>
        <w:rPr>
          <w:rFonts w:ascii="Arial" w:hAnsi="Arial"/>
          <w:i w:val="0"/>
          <w:sz w:val="20"/>
        </w:rPr>
        <w:t>, Suprema Corte de Justicia de la Nación, México, 2022.</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