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MULTA POR REQUERIMIENTO SÍ ATENDIDO EN BUZÓN TRIBUTARIO</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adáptalo como concepto de impugnación de tu demanda de nulidad. Antes de llenarlo, reúne tres documentos del expediente administrativo: el requerimiento con su constancia de notificación, el acuse de recepción de tu respuesta por buzón tributario y cualquier comunicación posterior de la autoridad sobre esa respuesta, como un acuse de solicitud de información adicional. Si respondiste esa solicitud, agrega un párrafo con su fecha y folio.</w:t>
      </w:r>
    </w:p>
    <w:p>
      <w:pPr>
        <w:spacing w:line="360" w:lineRule="auto"/>
        <w:jc w:val="both"/>
      </w:pPr>
      <w:r>
        <w:rPr>
          <w:rFonts w:ascii="Arial" w:hAnsi="Arial"/>
          <w:b w:val="0"/>
          <w:i w:val="0"/>
          <w:sz w:val="24"/>
        </w:rPr>
        <w:t>Demanda las dos resoluciones, la que resolvió el recurso de revocación y la multa, y pide expresamente la nulidad de ambas. Elimina los párrafos que no correspondan a tu caso, por ejemplo la referencia al recurso si impugnaste directamente la multa, o la frase que dice que el acuse se ofreció en el recurso si no fue así. Coteja el texto del artículo 79, fracción X, del Código Fiscal de la Federación vigente cuando ocurrió la infracción. Si la autoridad objeta que la Ley Federal de Procedimiento Administrativo rija en materia fiscal, el concepto se sostiene con el artículo 16 constitucional y con la causal del artículo 51, fracción IV, de la ley procesal.</w:t>
      </w:r>
    </w:p>
    <w:p>
      <w:pPr>
        <w:spacing w:line="360" w:lineRule="auto"/>
        <w:jc w:val="both"/>
      </w:pPr>
      <w:r>
        <w:rPr>
          <w:rFonts w:ascii="Arial" w:hAnsi="Arial"/>
          <w:b w:val="0"/>
          <w:i w:val="0"/>
          <w:sz w:val="24"/>
        </w:rPr>
        <w:t>Plantea en conceptos separados los demás vicios que tu asunto presente, como la falta de una prevención formal antes de sancionar, cotejando su fundamento en el texto vigente. Verifica la vía, ordinaria o sumaria, y recuerda que la demanda se presenta en treinta días en ambas: artículo 13, fracción I, en la ordinaria, y artículo 58-2, párrafo tercero, en la sumaria, de la Ley Federal de Procedimiento Contencioso Administrativo.</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 SEGUNDO…).</w:t>
      </w:r>
    </w:p>
    <w:p>
      <w:pPr>
        <w:spacing w:line="360" w:lineRule="auto"/>
        <w:jc w:val="both"/>
      </w:pPr>
      <w:r>
        <w:rPr>
          <w:rFonts w:ascii="Arial" w:hAnsi="Arial"/>
          <w:b/>
          <w:i w:val="0"/>
          <w:sz w:val="24"/>
        </w:rPr>
        <w:t>[NOMBRE DE LA PARTE ACTORA]</w:t>
      </w:r>
      <w:r>
        <w:rPr>
          <w:rFonts w:ascii="Arial" w:hAnsi="Arial"/>
          <w:b w:val="0"/>
          <w:i w:val="0"/>
          <w:sz w:val="24"/>
        </w:rPr>
        <w:t>: nombre o denominación de la persona contribuyente sancionada.</w:t>
      </w:r>
    </w:p>
    <w:p>
      <w:pPr>
        <w:spacing w:line="360" w:lineRule="auto"/>
        <w:jc w:val="both"/>
      </w:pPr>
      <w:r>
        <w:rPr>
          <w:rFonts w:ascii="Arial" w:hAnsi="Arial"/>
          <w:b/>
          <w:i w:val="0"/>
          <w:sz w:val="24"/>
        </w:rPr>
        <w:t>[NÚMERO DE OFICIO DE LA MULTA]</w:t>
      </w:r>
      <w:r>
        <w:rPr>
          <w:rFonts w:ascii="Arial" w:hAnsi="Arial"/>
          <w:b w:val="0"/>
          <w:i w:val="0"/>
          <w:sz w:val="24"/>
        </w:rPr>
        <w:t>: número exacto del oficio que impuso la multa (la resolución recurrida).</w:t>
      </w:r>
    </w:p>
    <w:p>
      <w:pPr>
        <w:spacing w:line="360" w:lineRule="auto"/>
        <w:jc w:val="both"/>
      </w:pPr>
      <w:r>
        <w:rPr>
          <w:rFonts w:ascii="Arial" w:hAnsi="Arial"/>
          <w:b/>
          <w:i w:val="0"/>
          <w:sz w:val="24"/>
        </w:rPr>
        <w:t>[FECHA DE LA MULTA]</w:t>
      </w:r>
      <w:r>
        <w:rPr>
          <w:rFonts w:ascii="Arial" w:hAnsi="Arial"/>
          <w:b w:val="0"/>
          <w:i w:val="0"/>
          <w:sz w:val="24"/>
        </w:rPr>
        <w:t>: fecha de emisión de ese oficio.</w:t>
      </w:r>
    </w:p>
    <w:p>
      <w:pPr>
        <w:spacing w:line="360" w:lineRule="auto"/>
        <w:jc w:val="both"/>
      </w:pPr>
      <w:r>
        <w:rPr>
          <w:rFonts w:ascii="Arial" w:hAnsi="Arial"/>
          <w:b/>
          <w:i w:val="0"/>
          <w:sz w:val="24"/>
        </w:rPr>
        <w:t>[AUTORIDAD EMISORA DE LA MULTA]</w:t>
      </w:r>
      <w:r>
        <w:rPr>
          <w:rFonts w:ascii="Arial" w:hAnsi="Arial"/>
          <w:b w:val="0"/>
          <w:i w:val="0"/>
          <w:sz w:val="24"/>
        </w:rPr>
        <w:t>: la unidad administrativa del SAT que impuso la sanción, con su denominación completa.</w:t>
      </w:r>
    </w:p>
    <w:p>
      <w:pPr>
        <w:spacing w:line="360" w:lineRule="auto"/>
        <w:jc w:val="both"/>
      </w:pPr>
      <w:r>
        <w:rPr>
          <w:rFonts w:ascii="Arial" w:hAnsi="Arial"/>
          <w:b/>
          <w:i w:val="0"/>
          <w:sz w:val="24"/>
        </w:rPr>
        <w:t>[MONTO DE LA MULTA]</w:t>
      </w:r>
      <w:r>
        <w:rPr>
          <w:rFonts w:ascii="Arial" w:hAnsi="Arial"/>
          <w:b w:val="0"/>
          <w:i w:val="0"/>
          <w:sz w:val="24"/>
        </w:rPr>
        <w:t>: cantidad impuesta, con número y letra.</w:t>
      </w:r>
    </w:p>
    <w:p>
      <w:pPr>
        <w:spacing w:line="360" w:lineRule="auto"/>
        <w:jc w:val="both"/>
      </w:pPr>
      <w:r>
        <w:rPr>
          <w:rFonts w:ascii="Arial" w:hAnsi="Arial"/>
          <w:b/>
          <w:i w:val="0"/>
          <w:sz w:val="24"/>
        </w:rPr>
        <w:t>[NÚMERO DE OFICIO DEL REQUERIMIENTO]</w:t>
      </w:r>
      <w:r>
        <w:rPr>
          <w:rFonts w:ascii="Arial" w:hAnsi="Arial"/>
          <w:b w:val="0"/>
          <w:i w:val="0"/>
          <w:sz w:val="24"/>
        </w:rPr>
        <w:t>: número del oficio que requirió la validación o el envío del instrumento notarial.</w:t>
      </w:r>
    </w:p>
    <w:p>
      <w:pPr>
        <w:spacing w:line="360" w:lineRule="auto"/>
        <w:jc w:val="both"/>
      </w:pPr>
      <w:r>
        <w:rPr>
          <w:rFonts w:ascii="Arial" w:hAnsi="Arial"/>
          <w:b/>
          <w:i w:val="0"/>
          <w:sz w:val="24"/>
        </w:rPr>
        <w:t>[FECHA EN QUE VENCÍA EL PLAZO DEL REQUERIMIENTO]</w:t>
      </w:r>
      <w:r>
        <w:rPr>
          <w:rFonts w:ascii="Arial" w:hAnsi="Arial"/>
          <w:b w:val="0"/>
          <w:i w:val="0"/>
          <w:sz w:val="24"/>
        </w:rPr>
        <w:t>: último día del plazo concedido, calculado desde la notificación del requerimiento.</w:t>
      </w:r>
    </w:p>
    <w:p>
      <w:pPr>
        <w:spacing w:line="360" w:lineRule="auto"/>
        <w:jc w:val="both"/>
      </w:pPr>
      <w:r>
        <w:rPr>
          <w:rFonts w:ascii="Arial" w:hAnsi="Arial"/>
          <w:b/>
          <w:i w:val="0"/>
          <w:sz w:val="24"/>
        </w:rPr>
        <w:t>[FOLIO DEL CASO DE ACLARACIÓN]</w:t>
      </w:r>
      <w:r>
        <w:rPr>
          <w:rFonts w:ascii="Arial" w:hAnsi="Arial"/>
          <w:b w:val="0"/>
          <w:i w:val="0"/>
          <w:sz w:val="24"/>
        </w:rPr>
        <w:t>: folio que el buzón tributario asignó a tu respuesta.</w:t>
      </w:r>
    </w:p>
    <w:p>
      <w:pPr>
        <w:spacing w:line="360" w:lineRule="auto"/>
        <w:jc w:val="both"/>
      </w:pPr>
      <w:r>
        <w:rPr>
          <w:rFonts w:ascii="Arial" w:hAnsi="Arial"/>
          <w:b/>
          <w:i w:val="0"/>
          <w:sz w:val="24"/>
        </w:rPr>
        <w:t>[FECHA DE PRESENTACIÓN DE LA ACLARACIÓN]</w:t>
      </w:r>
      <w:r>
        <w:rPr>
          <w:rFonts w:ascii="Arial" w:hAnsi="Arial"/>
          <w:b w:val="0"/>
          <w:i w:val="0"/>
          <w:sz w:val="24"/>
        </w:rPr>
        <w:t>: fecha que consta en el acuse de recepción de esa aclaración.</w:t>
      </w:r>
    </w:p>
    <w:p>
      <w:pPr>
        <w:spacing w:line="360" w:lineRule="auto"/>
        <w:jc w:val="both"/>
      </w:pPr>
      <w:r>
        <w:rPr>
          <w:rFonts w:ascii="Arial" w:hAnsi="Arial"/>
          <w:b/>
          <w:i w:val="0"/>
          <w:sz w:val="24"/>
        </w:rPr>
        <w:t>[FECHA DEL ACUSE DE SOLICITUD DE INFORMACIÓN ADICIONAL]</w:t>
      </w:r>
      <w:r>
        <w:rPr>
          <w:rFonts w:ascii="Arial" w:hAnsi="Arial"/>
          <w:b w:val="0"/>
          <w:i w:val="0"/>
          <w:sz w:val="24"/>
        </w:rPr>
        <w:t>: fecha del documento en que la autoridad pidió volver a adjuntar el archivo o calificó de ilegible lo enviado.</w:t>
      </w:r>
    </w:p>
    <w:p>
      <w:pPr>
        <w:spacing w:line="360" w:lineRule="auto"/>
        <w:jc w:val="both"/>
      </w:pPr>
      <w:r>
        <w:rPr>
          <w:rFonts w:ascii="Arial" w:hAnsi="Arial"/>
          <w:b/>
          <w:i w:val="0"/>
          <w:sz w:val="24"/>
        </w:rPr>
        <w:t>[UBICACIÓN DEL ACUSE EN EL EXPEDIENTE ADMINISTRATIVO]</w:t>
      </w:r>
      <w:r>
        <w:rPr>
          <w:rFonts w:ascii="Arial" w:hAnsi="Arial"/>
          <w:b w:val="0"/>
          <w:i w:val="0"/>
          <w:sz w:val="24"/>
        </w:rPr>
        <w:t>: folio, anexo o constancia donde obra el acuse de recepción.</w:t>
      </w:r>
    </w:p>
    <w:p>
      <w:pPr>
        <w:spacing w:line="360" w:lineRule="auto"/>
        <w:jc w:val="both"/>
      </w:pPr>
      <w:r>
        <w:rPr>
          <w:rFonts w:ascii="Arial" w:hAnsi="Arial"/>
          <w:b/>
          <w:i w:val="0"/>
          <w:sz w:val="24"/>
        </w:rPr>
        <w:t>[NÚMERO DE OFICIO DE LA RESOLUCIÓN DEL RECURSO]</w:t>
      </w:r>
      <w:r>
        <w:rPr>
          <w:rFonts w:ascii="Arial" w:hAnsi="Arial"/>
          <w:b w:val="0"/>
          <w:i w:val="0"/>
          <w:sz w:val="24"/>
        </w:rPr>
        <w:t>: número del oficio que resolvió el recurso de revocación y confirmó la multa.</w:t>
      </w:r>
    </w:p>
    <w:p>
      <w:pPr>
        <w:spacing w:line="360" w:lineRule="auto"/>
        <w:jc w:val="both"/>
      </w:pPr>
      <w:r>
        <w:rPr>
          <w:rFonts w:ascii="Arial" w:hAnsi="Arial"/>
          <w:b/>
          <w:i w:val="0"/>
          <w:sz w:val="24"/>
        </w:rPr>
        <w:t>[AUTORIDAD DEMANDADA]</w:t>
      </w:r>
      <w:r>
        <w:rPr>
          <w:rFonts w:ascii="Arial" w:hAnsi="Arial"/>
          <w:b w:val="0"/>
          <w:i w:val="0"/>
          <w:sz w:val="24"/>
        </w:rPr>
        <w:t>: la unidad jurídica del SAT que resolvió el recurso de revocación.</w:t>
      </w:r>
    </w:p>
    <w:p/>
    <w:p>
      <w:pPr>
        <w:spacing w:line="360" w:lineRule="auto"/>
        <w:jc w:val="both"/>
      </w:pPr>
      <w:r>
        <w:rPr>
          <w:rFonts w:ascii="Arial" w:hAnsi="Arial"/>
          <w:b/>
          <w:sz w:val="28"/>
        </w:rPr>
        <w:t>[NÚMERO ORDINAL DEL CONCEPTO] CONCEPTO DE IMPUGNACIÓN. Indebida motivación de la multa impuesta con fundamento en el artículo 79, fracción X, del Código Fiscal de la Federación. La autoridad sancionó la falta de atención de un requerimiento que la parte actora sí contestó dentro del plazo, mediante un caso de aclaración presentado por buzón tributario cuya recepción la propia autoridad reconoció, sin ponderar esa respuesta; los hechos que motivaron la sanción se apreciaron en forma equivocada y se actualiza la causal del artículo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multa contenida en el oficio </w:t>
      </w:r>
      <w:r>
        <w:rPr>
          <w:rFonts w:ascii="Arial" w:hAnsi="Arial"/>
          <w:b/>
          <w:i w:val="0"/>
          <w:sz w:val="28"/>
        </w:rPr>
        <w:t>[NÚMERO DE OFICIO DE LA MULTA]</w:t>
      </w:r>
      <w:r>
        <w:rPr>
          <w:rFonts w:ascii="Arial" w:hAnsi="Arial"/>
          <w:b w:val="0"/>
          <w:i w:val="0"/>
          <w:sz w:val="28"/>
        </w:rPr>
        <w:t xml:space="preserve">, de </w:t>
      </w:r>
      <w:r>
        <w:rPr>
          <w:rFonts w:ascii="Arial" w:hAnsi="Arial"/>
          <w:b/>
          <w:i w:val="0"/>
          <w:sz w:val="28"/>
        </w:rPr>
        <w:t>[FECHA DE LA MULTA]</w:t>
      </w:r>
      <w:r>
        <w:rPr>
          <w:rFonts w:ascii="Arial" w:hAnsi="Arial"/>
          <w:b w:val="0"/>
          <w:i w:val="0"/>
          <w:sz w:val="28"/>
        </w:rPr>
        <w:t xml:space="preserve">, emitida por la </w:t>
      </w:r>
      <w:r>
        <w:rPr>
          <w:rFonts w:ascii="Arial" w:hAnsi="Arial"/>
          <w:b/>
          <w:i w:val="0"/>
          <w:sz w:val="28"/>
        </w:rPr>
        <w:t>[AUTORIDAD EMISORA DE LA MULTA]</w:t>
      </w:r>
      <w:r>
        <w:rPr>
          <w:rFonts w:ascii="Arial" w:hAnsi="Arial"/>
          <w:b w:val="0"/>
          <w:i w:val="0"/>
          <w:sz w:val="28"/>
        </w:rPr>
        <w:t xml:space="preserve">, por la cantidad de </w:t>
      </w:r>
      <w:r>
        <w:rPr>
          <w:rFonts w:ascii="Arial" w:hAnsi="Arial"/>
          <w:b/>
          <w:i w:val="0"/>
          <w:sz w:val="28"/>
        </w:rPr>
        <w:t>[MONTO DE LA MULTA]</w:t>
      </w:r>
      <w:r>
        <w:rPr>
          <w:rFonts w:ascii="Arial" w:hAnsi="Arial"/>
          <w:b w:val="0"/>
          <w:i w:val="0"/>
          <w:sz w:val="28"/>
        </w:rPr>
        <w:t xml:space="preserve">, descansa en un hecho que no ocurrió: la supuesta falta de atención, dentro del plazo concedido, del requerimiento contenido en el oficio </w:t>
      </w:r>
      <w:r>
        <w:rPr>
          <w:rFonts w:ascii="Arial" w:hAnsi="Arial"/>
          <w:b/>
          <w:i w:val="0"/>
          <w:sz w:val="28"/>
        </w:rPr>
        <w:t>[NÚMERO DE OFICIO DEL REQUERIMIENTO]</w:t>
      </w:r>
      <w:r>
        <w:rPr>
          <w:rFonts w:ascii="Arial" w:hAnsi="Arial"/>
          <w:b w:val="0"/>
          <w:i w:val="0"/>
          <w:sz w:val="28"/>
        </w:rPr>
        <w:t>, relativo a la validación o envío del instrumento notarial necesario para la inscripción en el registro federal de contribuyentes.</w:t>
      </w:r>
    </w:p>
    <w:p>
      <w:pPr>
        <w:spacing w:line="360" w:lineRule="auto"/>
        <w:jc w:val="both"/>
      </w:pPr>
      <w:r>
        <w:rPr>
          <w:rFonts w:ascii="Arial" w:hAnsi="Arial"/>
          <w:b w:val="0"/>
          <w:i w:val="0"/>
          <w:sz w:val="28"/>
        </w:rPr>
        <w:t xml:space="preserve">La premisa fáctica de la sanción queda desmentida por las propias constancias del expediente administrativo. </w:t>
      </w:r>
      <w:r>
        <w:rPr>
          <w:rFonts w:ascii="Arial" w:hAnsi="Arial"/>
          <w:b/>
          <w:i w:val="0"/>
          <w:sz w:val="28"/>
        </w:rPr>
        <w:t>[NOMBRE DE LA PARTE ACTORA]</w:t>
      </w:r>
      <w:r>
        <w:rPr>
          <w:rFonts w:ascii="Arial" w:hAnsi="Arial"/>
          <w:b w:val="0"/>
          <w:i w:val="0"/>
          <w:sz w:val="28"/>
        </w:rPr>
        <w:t xml:space="preserve"> contestó el requerimiento mediante el caso de aclaración con folio </w:t>
      </w:r>
      <w:r>
        <w:rPr>
          <w:rFonts w:ascii="Arial" w:hAnsi="Arial"/>
          <w:b/>
          <w:i w:val="0"/>
          <w:sz w:val="28"/>
        </w:rPr>
        <w:t>[FOLIO DEL CASO DE ACLARACIÓN]</w:t>
      </w:r>
      <w:r>
        <w:rPr>
          <w:rFonts w:ascii="Arial" w:hAnsi="Arial"/>
          <w:b w:val="0"/>
          <w:i w:val="0"/>
          <w:sz w:val="28"/>
        </w:rPr>
        <w:t xml:space="preserve">, presentado por buzón tributario el </w:t>
      </w:r>
      <w:r>
        <w:rPr>
          <w:rFonts w:ascii="Arial" w:hAnsi="Arial"/>
          <w:b/>
          <w:i w:val="0"/>
          <w:sz w:val="28"/>
        </w:rPr>
        <w:t>[FECHA DE PRESENTACIÓN DE LA ACLARACIÓN]</w:t>
      </w:r>
      <w:r>
        <w:rPr>
          <w:rFonts w:ascii="Arial" w:hAnsi="Arial"/>
          <w:b w:val="0"/>
          <w:i w:val="0"/>
          <w:sz w:val="28"/>
        </w:rPr>
        <w:t>; la autoridad lo recibió y, además, se pronunció sobre su contenido en un acuse de solicitud de información adicional, en el que calificó de ilegible el archivo adjunto y pidió enviarlo de nuevo.</w:t>
      </w:r>
    </w:p>
    <w:p>
      <w:pPr>
        <w:spacing w:line="360" w:lineRule="auto"/>
        <w:jc w:val="both"/>
      </w:pPr>
      <w:r>
        <w:rPr>
          <w:rFonts w:ascii="Arial" w:hAnsi="Arial"/>
          <w:b w:val="0"/>
          <w:i w:val="0"/>
          <w:sz w:val="28"/>
        </w:rPr>
        <w:t>Aun así, la resolución sancionadora guarda silencio absoluto sobre esa respuesta: no la menciona, no la valora y no explica por qué, pese a ella, tuvo por actualizada la omisión. Esa falta de ponderación vicia la motivación del acto, porque la autoridad apreció los hechos de manera distinta a como ocurrieron, y conduce a la nulidad lisa y llana en términos de los artículos 51, fracción IV, y 52, fracción II, de la ley que rige el juicio contencioso administrativo federal.</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Los actos cuya nulidad se demanda son dos. El primero es la resolución contenida en el oficio </w:t>
      </w:r>
      <w:r>
        <w:rPr>
          <w:rFonts w:ascii="Arial" w:hAnsi="Arial"/>
          <w:b/>
          <w:i w:val="0"/>
          <w:sz w:val="28"/>
        </w:rPr>
        <w:t>[NÚMERO DE OFICIO DE LA RESOLUCIÓN DEL RECURSO]</w:t>
      </w:r>
      <w:r>
        <w:rPr>
          <w:rFonts w:ascii="Arial" w:hAnsi="Arial"/>
          <w:b w:val="0"/>
          <w:i w:val="0"/>
          <w:sz w:val="28"/>
        </w:rPr>
        <w:t xml:space="preserve">, emitida por la </w:t>
      </w:r>
      <w:r>
        <w:rPr>
          <w:rFonts w:ascii="Arial" w:hAnsi="Arial"/>
          <w:b/>
          <w:i w:val="0"/>
          <w:sz w:val="28"/>
        </w:rPr>
        <w:t>[AUTORIDAD DEMANDADA]</w:t>
      </w:r>
      <w:r>
        <w:rPr>
          <w:rFonts w:ascii="Arial" w:hAnsi="Arial"/>
          <w:b w:val="0"/>
          <w:i w:val="0"/>
          <w:sz w:val="28"/>
        </w:rPr>
        <w:t xml:space="preserve">, que resolvió el recurso de revocación interpuesto contra la multa y la confirmó; el segundo es la propia multa, contenida en el oficio </w:t>
      </w:r>
      <w:r>
        <w:rPr>
          <w:rFonts w:ascii="Arial" w:hAnsi="Arial"/>
          <w:b/>
          <w:i w:val="0"/>
          <w:sz w:val="28"/>
        </w:rPr>
        <w:t>[NÚMERO DE OFICIO DE LA MULTA]</w:t>
      </w:r>
      <w:r>
        <w:rPr>
          <w:rFonts w:ascii="Arial" w:hAnsi="Arial"/>
          <w:b w:val="0"/>
          <w:i w:val="0"/>
          <w:sz w:val="28"/>
        </w:rPr>
        <w:t>, que se controvierte simultáneamente en la parte que continúa afectando a la parte actora.</w:t>
      </w:r>
    </w:p>
    <w:p>
      <w:pPr>
        <w:spacing w:line="360" w:lineRule="auto"/>
        <w:jc w:val="both"/>
      </w:pPr>
      <w:r>
        <w:rPr>
          <w:rFonts w:ascii="Arial" w:hAnsi="Arial"/>
          <w:b w:val="0"/>
          <w:i w:val="0"/>
          <w:sz w:val="28"/>
        </w:rPr>
        <w:t>Esa designación conjunta encuentra apoyo en el artículo 1º, segundo párrafo, de la Ley Federal de Procedimiento Contencioso Administrativo, conforme al cual, cuando la resolución recaída a un recurso administrativo no satisface el interés jurídico de la persona recurrente y ésta la combate en juicio, se entiende que también impugna la recurrida, con la posibilidad de hacer valer conceptos no planteados en sede administrativa. A su vez, el artículo 50 del mismo ordenamiento impide anular actos no impugnados de manera expresa, razón por la cual se pide en forma destacada la nulidad de ambas resoluciones.</w:t>
      </w:r>
    </w:p>
    <w:p>
      <w:pPr>
        <w:spacing w:line="360" w:lineRule="auto"/>
        <w:jc w:val="both"/>
      </w:pPr>
      <w:r>
        <w:rPr>
          <w:rFonts w:ascii="Arial" w:hAnsi="Arial"/>
          <w:b w:val="0"/>
          <w:i w:val="0"/>
          <w:sz w:val="28"/>
        </w:rPr>
        <w:t>Las normas cuya inobservancia se plantea son, en primer lugar, el artículo 16, primer párrafo, de la Constitución Política de los Estados Unidos Mexicanos, que exige que todo acto de molestia conste en mandamiento escrito de autoridad competente que funde y motive la causa legal del procedimiento. Como lo reconoció una Sala Regional de este Tribunal al resolver un caso análogo, esa exigencia se proyecta también en el artículo 3, fracción V, de la Ley Federal de Procedimiento Administrativo, que impone al acto administrativo el requisito de estar fundado y motivado.</w:t>
      </w:r>
    </w:p>
    <w:p>
      <w:pPr>
        <w:spacing w:line="360" w:lineRule="auto"/>
        <w:jc w:val="both"/>
      </w:pPr>
      <w:r>
        <w:rPr>
          <w:rFonts w:ascii="Arial" w:hAnsi="Arial"/>
          <w:b w:val="0"/>
          <w:i w:val="0"/>
          <w:sz w:val="28"/>
        </w:rPr>
        <w:t xml:space="preserve">En segundo lugar, se plantea la inexacta aplicación del artículo 79, fracción X, del Código Fiscal de la Federación, que tipifica como infracción la conducta de </w:t>
      </w:r>
      <w:r>
        <w:rPr>
          <w:rFonts w:ascii="Arial" w:hAnsi="Arial"/>
          <w:b w:val="0"/>
          <w:i/>
          <w:sz w:val="28"/>
        </w:rPr>
        <w:t>“No atender los requerimientos realizados por la autoridad fiscal, en el plazo concedido, respecto de corroborar la autenticidad, la validación o envío de instrumentos notariales para efectos de la inscripción o actualización en el registro federal de contribuyentes”</w:t>
      </w:r>
      <w:r>
        <w:rPr>
          <w:rFonts w:ascii="Arial" w:hAnsi="Arial"/>
          <w:b w:val="0"/>
          <w:i w:val="0"/>
          <w:sz w:val="28"/>
        </w:rPr>
        <w:t>.</w:t>
      </w:r>
    </w:p>
    <w:p>
      <w:pPr>
        <w:spacing w:line="360" w:lineRule="auto"/>
        <w:jc w:val="both"/>
      </w:pPr>
      <w:r>
        <w:rPr>
          <w:rFonts w:ascii="Arial" w:hAnsi="Arial"/>
          <w:b w:val="0"/>
          <w:i w:val="0"/>
          <w:sz w:val="28"/>
        </w:rPr>
        <w:t xml:space="preserve">El perjuicio es directo: se impone a la parte actora una sanción económica de </w:t>
      </w:r>
      <w:r>
        <w:rPr>
          <w:rFonts w:ascii="Arial" w:hAnsi="Arial"/>
          <w:b/>
          <w:i w:val="0"/>
          <w:sz w:val="28"/>
        </w:rPr>
        <w:t>[MONTO DE LA MULTA]</w:t>
      </w:r>
      <w:r>
        <w:rPr>
          <w:rFonts w:ascii="Arial" w:hAnsi="Arial"/>
          <w:b w:val="0"/>
          <w:i w:val="0"/>
          <w:sz w:val="28"/>
        </w:rPr>
        <w:t xml:space="preserve"> por una omisión que no cometió, y la resolución del recurso perpetúa ese agravio al confirmarla sin corregir el error de hecho. De prosperar este concepto, el beneficio es el mayor posible, porque la anulación total deja sin sustento tanto la sanción como su confirmación; por ello, conforme al artículo 50, segundo párrafo, de la ley procesal, este planteamiento debe examinarse con prioridad, por ser de los que conducen a la nulidad lisa y llana.</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El artículo 16 constitucional obliga a la autoridad a expresar en el propio acto de molestia las razones particulares, circunstancias especiales o causas inmediatas que determinaron su emisión, y a demostrar la adecuación entre esos motivos y la hipótesis legal que invoca. De ahí que no baste la existencia de un precepto capaz de sustentar el acto ni la de un motivo para actuar: ambos deben hacerse saber a la persona afectada en el mismo documento, para que pueda defenderse.</w:t>
      </w:r>
    </w:p>
    <w:p>
      <w:pPr>
        <w:spacing w:line="360" w:lineRule="auto"/>
        <w:jc w:val="both"/>
      </w:pPr>
      <w:r>
        <w:rPr>
          <w:rFonts w:ascii="Arial" w:hAnsi="Arial"/>
          <w:b w:val="0"/>
          <w:i w:val="0"/>
          <w:sz w:val="28"/>
        </w:rPr>
        <w:t>Esa adecuación tiene dos componentes. El primero es la existencia y cita de la norma que faculta a la autoridad para actuar en determinado sentido; el segundo es la existencia constatada de los antecedentes de hecho que permitan concluir, con claridad, que procedía aplicar esa norma y no otra. El segundo componente es el que aquí interesa, porque la multa invoca un precepto existente, pero lo proyecta sobre un hecho que las constancias desmienten.</w:t>
      </w:r>
    </w:p>
    <w:p>
      <w:pPr>
        <w:spacing w:line="360" w:lineRule="auto"/>
        <w:jc w:val="both"/>
      </w:pPr>
      <w:r>
        <w:rPr>
          <w:rFonts w:ascii="Arial" w:hAnsi="Arial"/>
          <w:b w:val="0"/>
          <w:i w:val="0"/>
          <w:sz w:val="28"/>
        </w:rPr>
        <w:t>La teoría de la justificación de las decisiones explica por qué ese defecto es insalvable: una norma general sólo puede aplicarse a un hecho si éste ocurrió realmente, de suerte que la decisión individual está justificada únicamente cuando, además de seguirse lógicamente del razonamiento, descansa en una descripción verdadera del hecho.</w:t>
      </w:r>
      <w:r>
        <w:rPr>
          <w:rFonts w:ascii="Arial" w:hAnsi="Arial"/>
          <w:vertAlign w:val="superscript"/>
        </w:rPr>
        <w:t>1</w:t>
      </w:r>
      <w:r>
        <w:rPr>
          <w:rFonts w:ascii="Arial" w:hAnsi="Arial"/>
          <w:b w:val="0"/>
          <w:i w:val="0"/>
          <w:sz w:val="28"/>
        </w:rPr>
        <w:t xml:space="preserve"> En materia sancionadora la consecuencia es inmediata: si el hecho típico no se produjo, la multa carece de soporte, por correcta que sea la cita del precepto.</w:t>
      </w:r>
    </w:p>
    <w:p>
      <w:pPr>
        <w:spacing w:line="360" w:lineRule="auto"/>
        <w:jc w:val="both"/>
      </w:pPr>
      <w:r>
        <w:rPr>
          <w:rFonts w:ascii="Arial" w:hAnsi="Arial"/>
          <w:b w:val="0"/>
          <w:i w:val="0"/>
          <w:sz w:val="28"/>
        </w:rPr>
        <w:t>Justificar la premisa fáctica, según la doctrina procesal, consiste en aportar las razones que acreditan su corrección a partir de la valoración racional de las pruebas e informaciones disponibles, al grado de que una decisión que no justifica la declaración de hechos en que se apoya no está racionalmente fundada.</w:t>
      </w:r>
      <w:r>
        <w:rPr>
          <w:rFonts w:ascii="Arial" w:hAnsi="Arial"/>
          <w:vertAlign w:val="superscript"/>
        </w:rPr>
        <w:t>2</w:t>
      </w:r>
      <w:r>
        <w:rPr>
          <w:rFonts w:ascii="Arial" w:hAnsi="Arial"/>
          <w:b w:val="0"/>
          <w:i w:val="0"/>
          <w:sz w:val="28"/>
        </w:rPr>
        <w:t xml:space="preserve"> Trasladada al acto administrativo sancionador, esa exigencia obliga a la autoridad a explicar por qué los elementos que obran en su poder acreditan la omisión que castiga.</w:t>
      </w:r>
    </w:p>
    <w:p>
      <w:pPr>
        <w:spacing w:line="360" w:lineRule="auto"/>
        <w:jc w:val="both"/>
      </w:pPr>
      <w:r>
        <w:rPr>
          <w:rFonts w:ascii="Arial" w:hAnsi="Arial"/>
          <w:b w:val="0"/>
          <w:i w:val="0"/>
          <w:sz w:val="28"/>
        </w:rPr>
        <w:t>La motivación sobre los hechos, además, debe ser completa: ha de involucrar todas las pruebas relacionadas con los hechos relevantes, con una justificación específica de la evaluación que se hizo de cada una.</w:t>
      </w:r>
      <w:r>
        <w:rPr>
          <w:rFonts w:ascii="Arial" w:hAnsi="Arial"/>
          <w:vertAlign w:val="superscript"/>
        </w:rPr>
        <w:t>3</w:t>
      </w:r>
      <w:r>
        <w:rPr>
          <w:rFonts w:ascii="Arial" w:hAnsi="Arial"/>
          <w:b w:val="0"/>
          <w:i w:val="0"/>
          <w:sz w:val="28"/>
        </w:rPr>
        <w:t xml:space="preserve"> Aunque esa exigencia se formuló para la decisión judicial, su razón de ser, que es permitir el control externo del razonamiento, rige con igual fuerza para la autoridad que impone una sanción, pues su destinataria sólo puede defenderse si conoce por qué se desestimó la prueba que la favorece.</w:t>
      </w:r>
    </w:p>
    <w:p>
      <w:pPr>
        <w:spacing w:line="360" w:lineRule="auto"/>
        <w:jc w:val="both"/>
      </w:pPr>
      <w:r>
        <w:rPr>
          <w:rFonts w:ascii="Arial" w:hAnsi="Arial"/>
          <w:b w:val="0"/>
          <w:i w:val="0"/>
          <w:sz w:val="28"/>
        </w:rPr>
        <w:t xml:space="preserve">El artículo 51, fracción IV, de la Ley Federal de Procedimiento Contencioso Administrativo recoge esa idea al declarar ilegal la resolución administrativa </w:t>
      </w:r>
      <w:r>
        <w:rPr>
          <w:rFonts w:ascii="Arial" w:hAnsi="Arial"/>
          <w:b w:val="0"/>
          <w:i/>
          <w:sz w:val="28"/>
        </w:rPr>
        <w:t>“Si los hechos que la motivaron no se realizaron, fueron distintos o se apreciaron en forma equivocada”</w:t>
      </w:r>
      <w:r>
        <w:rPr>
          <w:rFonts w:ascii="Arial" w:hAnsi="Arial"/>
          <w:b w:val="0"/>
          <w:i w:val="0"/>
          <w:sz w:val="28"/>
        </w:rPr>
        <w:t>. La consecuencia está en el artículo 52, fracción II, del propio ordenamiento, que autoriza a declarar la nulidad de la resolución impugnada, mientras que su fracción IV ordena la nulidad para efectos cuando se actualizan las fracciones II y III de aquel precepto, hipótesis ajenas al vicio de fondo que aquí se plantea.</w:t>
      </w:r>
    </w:p>
    <w:p>
      <w:pPr>
        <w:spacing w:line="360" w:lineRule="auto"/>
        <w:jc w:val="both"/>
      </w:pPr>
      <w:r>
        <w:rPr>
          <w:rFonts w:ascii="Arial" w:hAnsi="Arial"/>
          <w:b w:val="0"/>
          <w:i w:val="0"/>
          <w:sz w:val="28"/>
        </w:rPr>
        <w:t>Para acreditar el error de hecho, el artículo 46, fracción I, de la ley procesal otorga prueba plena a los hechos legalmente afirmados por autoridad en documentos públicos, incluidos los digitales. El acuse de recepción que genera el buzón tributario y, en particular, el acuse de solicitud de información adicional que la propia autoridad emitió son documentos de esa clase, en los que la administración dejó constancia de haber recibido la respuesta de la parte actora y de haberse impuesto de su contenido.</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encuadran con exactitud en la premisa expuesta. Mediante el oficio </w:t>
      </w:r>
      <w:r>
        <w:rPr>
          <w:rFonts w:ascii="Arial" w:hAnsi="Arial"/>
          <w:b/>
          <w:i w:val="0"/>
          <w:sz w:val="28"/>
        </w:rPr>
        <w:t>[NÚMERO DE OFICIO DEL REQUERIMIENTO]</w:t>
      </w:r>
      <w:r>
        <w:rPr>
          <w:rFonts w:ascii="Arial" w:hAnsi="Arial"/>
          <w:b w:val="0"/>
          <w:i w:val="0"/>
          <w:sz w:val="28"/>
        </w:rPr>
        <w:t xml:space="preserve">, la autoridad requirió a la parte actora para que corroborara la autenticidad, validara o enviara el instrumento notarial relativo a la inscripción en el registro federal de contribuyentes, con un plazo que vencía el </w:t>
      </w:r>
      <w:r>
        <w:rPr>
          <w:rFonts w:ascii="Arial" w:hAnsi="Arial"/>
          <w:b/>
          <w:i w:val="0"/>
          <w:sz w:val="28"/>
        </w:rPr>
        <w:t>[FECHA EN QUE VENCÍA EL PLAZO DEL REQUERIMIENTO]</w:t>
      </w:r>
      <w:r>
        <w:rPr>
          <w:rFonts w:ascii="Arial" w:hAnsi="Arial"/>
          <w:b w:val="0"/>
          <w:i w:val="0"/>
          <w:sz w:val="28"/>
        </w:rPr>
        <w:t>.</w:t>
      </w:r>
    </w:p>
    <w:p>
      <w:pPr>
        <w:spacing w:line="360" w:lineRule="auto"/>
        <w:jc w:val="both"/>
      </w:pPr>
      <w:r>
        <w:rPr>
          <w:rFonts w:ascii="Arial" w:hAnsi="Arial"/>
          <w:b w:val="0"/>
          <w:i w:val="0"/>
          <w:sz w:val="28"/>
        </w:rPr>
        <w:t xml:space="preserve">Dentro de ese plazo, el </w:t>
      </w:r>
      <w:r>
        <w:rPr>
          <w:rFonts w:ascii="Arial" w:hAnsi="Arial"/>
          <w:b/>
          <w:i w:val="0"/>
          <w:sz w:val="28"/>
        </w:rPr>
        <w:t>[FECHA DE PRESENTACIÓN DE LA ACLARACIÓN]</w:t>
      </w:r>
      <w:r>
        <w:rPr>
          <w:rFonts w:ascii="Arial" w:hAnsi="Arial"/>
          <w:b w:val="0"/>
          <w:i w:val="0"/>
          <w:sz w:val="28"/>
        </w:rPr>
        <w:t xml:space="preserve">, la parte actora presentó por buzón tributario el caso de aclaración con folio </w:t>
      </w:r>
      <w:r>
        <w:rPr>
          <w:rFonts w:ascii="Arial" w:hAnsi="Arial"/>
          <w:b/>
          <w:i w:val="0"/>
          <w:sz w:val="28"/>
        </w:rPr>
        <w:t>[FOLIO DEL CASO DE ACLARACIÓN]</w:t>
      </w:r>
      <w:r>
        <w:rPr>
          <w:rFonts w:ascii="Arial" w:hAnsi="Arial"/>
          <w:b w:val="0"/>
          <w:i w:val="0"/>
          <w:sz w:val="28"/>
        </w:rPr>
        <w:t xml:space="preserve">, con el que dio contestación al requerimiento, adjuntó la documentación solicitada y proporcionó los datos del instrumento notarial. El acuse de recepción correspondiente obra en </w:t>
      </w:r>
      <w:r>
        <w:rPr>
          <w:rFonts w:ascii="Arial" w:hAnsi="Arial"/>
          <w:b/>
          <w:i w:val="0"/>
          <w:sz w:val="28"/>
        </w:rPr>
        <w:t>[UBICACIÓN DEL ACUSE EN EL EXPEDIENTE ADMINISTRATIVO]</w:t>
      </w:r>
      <w:r>
        <w:rPr>
          <w:rFonts w:ascii="Arial" w:hAnsi="Arial"/>
          <w:b w:val="0"/>
          <w:i w:val="0"/>
          <w:sz w:val="28"/>
        </w:rPr>
        <w:t xml:space="preserve"> y se ofreció como prueba en el recurso de revocación.</w:t>
      </w:r>
    </w:p>
    <w:p>
      <w:pPr>
        <w:spacing w:line="360" w:lineRule="auto"/>
        <w:jc w:val="both"/>
      </w:pPr>
      <w:r>
        <w:rPr>
          <w:rFonts w:ascii="Arial" w:hAnsi="Arial"/>
          <w:b w:val="0"/>
          <w:i w:val="0"/>
          <w:sz w:val="28"/>
        </w:rPr>
        <w:t xml:space="preserve">El </w:t>
      </w:r>
      <w:r>
        <w:rPr>
          <w:rFonts w:ascii="Arial" w:hAnsi="Arial"/>
          <w:b/>
          <w:i w:val="0"/>
          <w:sz w:val="28"/>
        </w:rPr>
        <w:t>[FECHA DEL ACUSE DE SOLICITUD DE INFORMACIÓN ADICIONAL]</w:t>
      </w:r>
      <w:r>
        <w:rPr>
          <w:rFonts w:ascii="Arial" w:hAnsi="Arial"/>
          <w:b w:val="0"/>
          <w:i w:val="0"/>
          <w:sz w:val="28"/>
        </w:rPr>
        <w:t>, la autoridad emitió un acuse de solicitud de información adicional en el que, para atender esa aclaración, pidió adjuntar de nuevo, en formato PDF, el archivo anexado al crear el caso, por estimar ilegible el formato en que se envió. Ese documento prueba tres cosas: que la respuesta llegó; que la autoridad la identificó como relativa al requerimiento; y que examinó su contenido hasta el punto de calificarlo.</w:t>
      </w:r>
    </w:p>
    <w:p>
      <w:pPr>
        <w:spacing w:line="360" w:lineRule="auto"/>
        <w:jc w:val="both"/>
      </w:pPr>
      <w:r>
        <w:rPr>
          <w:rFonts w:ascii="Arial" w:hAnsi="Arial"/>
          <w:b w:val="0"/>
          <w:i w:val="0"/>
          <w:sz w:val="28"/>
        </w:rPr>
        <w:t xml:space="preserve">Pese a ello, la multa contenida en el oficio </w:t>
      </w:r>
      <w:r>
        <w:rPr>
          <w:rFonts w:ascii="Arial" w:hAnsi="Arial"/>
          <w:b/>
          <w:i w:val="0"/>
          <w:sz w:val="28"/>
        </w:rPr>
        <w:t>[NÚMERO DE OFICIO DE LA MULTA]</w:t>
      </w:r>
      <w:r>
        <w:rPr>
          <w:rFonts w:ascii="Arial" w:hAnsi="Arial"/>
          <w:b w:val="0"/>
          <w:i w:val="0"/>
          <w:sz w:val="28"/>
        </w:rPr>
        <w:t xml:space="preserve"> se motivó exclusivamente en que la parte actora no suministró la información requerida dentro del plazo concedido. La resolución no menciona la aclaración, no se ocupa del acuse de recepción ni del de información adicional y no expone razón alguna para desestimarlos; tuvo por cierto un hecho, la falta de atención, que sus propios registros contradecían.</w:t>
      </w:r>
    </w:p>
    <w:p>
      <w:pPr>
        <w:spacing w:line="360" w:lineRule="auto"/>
        <w:jc w:val="both"/>
      </w:pPr>
      <w:r>
        <w:rPr>
          <w:rFonts w:ascii="Arial" w:hAnsi="Arial"/>
          <w:b w:val="0"/>
          <w:i w:val="0"/>
          <w:sz w:val="28"/>
        </w:rPr>
        <w:t>Así, la autoridad apreció los hechos de manera distinta a como ocurrieron y omitió ponderar la respuesta presentada en tiempo, con lo cual su motivación se desajusta del supuesto de la fracción X del artículo 79 del Código Fiscal de la Federación, que castiga no atender el requerimiento en el plazo concedido, conducta que en el caso no se produjo. La resolución del recurso de revocación heredó el mismo vicio al confirmar la sanción sin subsanar esa omisión.</w:t>
      </w:r>
    </w:p>
    <w:p>
      <w:pPr>
        <w:spacing w:line="360" w:lineRule="auto"/>
        <w:jc w:val="both"/>
      </w:pPr>
      <w:r>
        <w:rPr>
          <w:rFonts w:ascii="Arial" w:hAnsi="Arial"/>
          <w:b w:val="0"/>
          <w:i w:val="0"/>
          <w:sz w:val="28"/>
        </w:rPr>
        <w:t>El razonamiento de la autoridad incurre, en primer término, en la falacia de eludir la carga de la prueba, que consiste en no aportar razones que fundamenten la conclusión: se dice algo y no se da razón de lo que se dice.</w:t>
      </w:r>
      <w:r>
        <w:rPr>
          <w:rFonts w:ascii="Arial" w:hAnsi="Arial"/>
          <w:vertAlign w:val="superscript"/>
        </w:rPr>
        <w:t>4</w:t>
      </w:r>
      <w:r>
        <w:rPr>
          <w:rFonts w:ascii="Arial" w:hAnsi="Arial"/>
          <w:b w:val="0"/>
          <w:i w:val="0"/>
          <w:sz w:val="28"/>
        </w:rPr>
        <w:t xml:space="preserve"> La multa sostiene que el requerimiento no se atendió, pero no explica cómo llegó a esa conclusión frente a un acuse de recepción generado por su propio sistema; la omisión típica se da por demostrada con la sola afirmación de quien sanciona, cuando era ésta quien debía justificarla con los elementos del expediente.</w:t>
      </w:r>
    </w:p>
    <w:p>
      <w:pPr>
        <w:spacing w:line="360" w:lineRule="auto"/>
        <w:jc w:val="both"/>
      </w:pPr>
      <w:r>
        <w:rPr>
          <w:rFonts w:ascii="Arial" w:hAnsi="Arial"/>
          <w:b w:val="0"/>
          <w:i w:val="0"/>
          <w:sz w:val="28"/>
        </w:rPr>
        <w:t xml:space="preserve">Es previsible que, al contestar la demanda, la autoridad pretenda sostener que un archivo ilegible equivale a no haber atendido el requerimiento. Ese argumento es inatendible por dos razones. La primera es procesal: el artículo 22 de la Ley Federal de Procedimiento Contencioso Administrativo dispone que </w:t>
      </w:r>
      <w:r>
        <w:rPr>
          <w:rFonts w:ascii="Arial" w:hAnsi="Arial"/>
          <w:b w:val="0"/>
          <w:i/>
          <w:sz w:val="28"/>
        </w:rPr>
        <w:t>“En la contestación de la demanda no podrán cambiarse los fundamentos de derecho de la resolución impugnada”</w:t>
      </w:r>
      <w:r>
        <w:rPr>
          <w:rFonts w:ascii="Arial" w:hAnsi="Arial"/>
          <w:b w:val="0"/>
          <w:i w:val="0"/>
          <w:sz w:val="28"/>
        </w:rPr>
        <w:t>, y la motivación que exige el artículo 16 constitucional debe constar en el propio acto de molestia, de modo que no cabe introducir a posteriori una razón que la multa nunca expresó.</w:t>
      </w:r>
    </w:p>
    <w:p>
      <w:pPr>
        <w:spacing w:line="360" w:lineRule="auto"/>
        <w:jc w:val="both"/>
      </w:pPr>
      <w:r>
        <w:rPr>
          <w:rFonts w:ascii="Arial" w:hAnsi="Arial"/>
          <w:b w:val="0"/>
          <w:i w:val="0"/>
          <w:sz w:val="28"/>
        </w:rPr>
        <w:t>La segunda razón es lógica: ese argumento descansa en una falsa disyunción, falacia que se produce cuando la alternativa planteada no es exhaustiva porque olvida otras posibilidades.</w:t>
      </w:r>
      <w:r>
        <w:rPr>
          <w:rFonts w:ascii="Arial" w:hAnsi="Arial"/>
          <w:vertAlign w:val="superscript"/>
        </w:rPr>
        <w:t>5</w:t>
      </w:r>
      <w:r>
        <w:rPr>
          <w:rFonts w:ascii="Arial" w:hAnsi="Arial"/>
          <w:b w:val="0"/>
          <w:i w:val="0"/>
          <w:sz w:val="28"/>
        </w:rPr>
        <w:t xml:space="preserve"> La autoridad razona como si sólo hubiera dos opciones, que la respuesta llegara con un archivo plenamente legible o que el requerimiento quedara desatendido, y omite la tercera, que es la que consta en autos: la parte actora atendió en tiempo y la propia autoridad, lejos de tener por incumplido el requerimiento, solicitó que el archivo se adjuntara de nuevo.</w:t>
      </w:r>
    </w:p>
    <w:p>
      <w:pPr>
        <w:spacing w:line="360" w:lineRule="auto"/>
        <w:jc w:val="both"/>
      </w:pPr>
      <w:r>
        <w:rPr>
          <w:rFonts w:ascii="Arial" w:hAnsi="Arial"/>
          <w:b w:val="0"/>
          <w:i w:val="0"/>
          <w:sz w:val="28"/>
        </w:rPr>
        <w:t>Esa tercera hipótesis no encaja en la conducta típica. La fracción X del artículo 79 del código tributario sanciona la falta de atención del requerimiento en el plazo concedido; la eventual deficiencia técnica de un anexo, que la autoridad trató como subsanable al pedir su reenvío, es una situación distinta, y equipararlas extiende el tipo infractor a un supuesto que el legislador no describió. En todo caso, si la autoridad estimaba insuficiente la respuesta, debía decirlo y explicar por qué en la resolución sancionadora, cosa que no hizo.</w:t>
      </w:r>
    </w:p>
    <w:p>
      <w:pPr>
        <w:spacing w:line="360" w:lineRule="auto"/>
        <w:jc w:val="both"/>
      </w:pPr>
      <w:r>
        <w:rPr>
          <w:rFonts w:ascii="Arial" w:hAnsi="Arial"/>
          <w:b w:val="0"/>
          <w:i w:val="0"/>
          <w:sz w:val="28"/>
        </w:rPr>
        <w:t>Tampoco salva la legalidad del acto la resolución del recurso de revocación. Aun cuando en ella se haya hecho referencia al acuse de recepción ofrecido como prueba, la autoridad revisora confirmó la multa sin corregir el error de hecho ni ponderar el contenido de la aclaración, con lo que hizo suya una motivación que descansa en una premisa fáctica falsa; por virtud de la litis abierta, ambas resoluciones deben correr la misma suerte.</w:t>
      </w:r>
    </w:p>
    <w:p>
      <w:pPr>
        <w:spacing w:line="360" w:lineRule="auto"/>
        <w:jc w:val="both"/>
      </w:pPr>
      <w:r>
        <w:rPr>
          <w:rFonts w:ascii="Arial" w:hAnsi="Arial"/>
          <w:b w:val="0"/>
          <w:i w:val="0"/>
          <w:sz w:val="28"/>
        </w:rPr>
        <w:t>Por último, este concepto no descansa en pruebas novedosas ofrecidas por primera vez en juicio. El acuse de recepción del caso de aclaración y el acuse de solicitud de información adicional obran en el expediente administrativo del que derivó la resolución impugnada y fueron generados por los sistemas de la propia autoridad, de modo que formaban parte de los elementos que ésta debió tomar en cuenta al sancionar y que el Tribunal puede valorar al resolver.</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la multa castiga la falta de atención de un requerimiento que la parte actora sí contestó en tiempo por buzón tributario; la autoridad recibió esa respuesta y se pronunció sobre ella, pero la omitió por completo al sancionar; y la resolución del recurso confirmó la sanción sin reparar el error. El acto se apoya en hechos apreciados en forma equivocada y carece de la debida motivación.</w:t>
      </w:r>
    </w:p>
    <w:p>
      <w:pPr>
        <w:spacing w:line="360" w:lineRule="auto"/>
        <w:jc w:val="both"/>
      </w:pPr>
      <w:r>
        <w:rPr>
          <w:rFonts w:ascii="Arial" w:hAnsi="Arial"/>
          <w:b w:val="0"/>
          <w:i w:val="0"/>
          <w:sz w:val="28"/>
        </w:rPr>
        <w:t xml:space="preserve">Por lo expuesto, procede declarar fundado este concepto de impugnación y, con fundamento en los artículos 51, fracción IV, y 52, fracción II, de la Ley Federal de Procedimiento Contencioso Administrativo, declarar la nulidad lisa y llana tanto de la resolución contenida en el oficio </w:t>
      </w:r>
      <w:r>
        <w:rPr>
          <w:rFonts w:ascii="Arial" w:hAnsi="Arial"/>
          <w:b/>
          <w:i w:val="0"/>
          <w:sz w:val="28"/>
        </w:rPr>
        <w:t>[NÚMERO DE OFICIO DE LA RESOLUCIÓN DEL RECURSO]</w:t>
      </w:r>
      <w:r>
        <w:rPr>
          <w:rFonts w:ascii="Arial" w:hAnsi="Arial"/>
          <w:b w:val="0"/>
          <w:i w:val="0"/>
          <w:sz w:val="28"/>
        </w:rPr>
        <w:t xml:space="preserve">, recaída al recurso de revocación, como de la multa contenida en el oficio </w:t>
      </w:r>
      <w:r>
        <w:rPr>
          <w:rFonts w:ascii="Arial" w:hAnsi="Arial"/>
          <w:b/>
          <w:i w:val="0"/>
          <w:sz w:val="28"/>
        </w:rPr>
        <w:t>[NÚMERO DE OFICIO DE LA MULTA]</w:t>
      </w:r>
      <w:r>
        <w:rPr>
          <w:rFonts w:ascii="Arial" w:hAnsi="Arial"/>
          <w:b w:val="0"/>
          <w:i w:val="0"/>
          <w:sz w:val="28"/>
        </w:rPr>
        <w:t>. Se solicita el estudio preferente de este planteamiento, pues su acogimiento otorga a la parte actora el mayor beneficio jurídico posible.</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FERRER BELTRÁN, Jordi, </w:t>
      </w:r>
      <w:r>
        <w:rPr>
          <w:rFonts w:ascii="Arial" w:hAnsi="Arial"/>
          <w:i/>
          <w:sz w:val="20"/>
        </w:rPr>
        <w:t>Motivación y racionalidad de la prueba</w:t>
      </w:r>
      <w:r>
        <w:rPr>
          <w:rFonts w:ascii="Arial" w:hAnsi="Arial"/>
          <w:i w:val="0"/>
          <w:sz w:val="20"/>
        </w:rPr>
        <w:t>, Editora Jurídica Grijley, Lima, 2016, p. 66.</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 p. 1139.</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TARUFFO, Michele, </w:t>
      </w:r>
      <w:r>
        <w:rPr>
          <w:rFonts w:ascii="Arial" w:hAnsi="Arial"/>
          <w:i/>
          <w:sz w:val="20"/>
        </w:rPr>
        <w:t>Verdad, prueba y motivación en la decisión sobre los hechos</w:t>
      </w:r>
      <w:r>
        <w:rPr>
          <w:rFonts w:ascii="Arial" w:hAnsi="Arial"/>
          <w:i w:val="0"/>
          <w:sz w:val="20"/>
        </w:rPr>
        <w:t>, Tribunal Electoral del Poder Judicial de la Federación, México, 2013, p. 91.</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38.</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GARCÍA DAMBORENEA, op. cit.</w:t>
      </w:r>
      <w:r>
        <w:rPr>
          <w:rFonts w:ascii="Arial" w:hAnsi="Arial"/>
          <w:i w:val="0"/>
          <w:sz w:val="20"/>
        </w:rPr>
        <w:t>, p. 35.</w:t>
      </w:r>
    </w:p>
    <w:p/>
    <w:p>
      <w:r>
        <w:rPr>
          <w:rFonts w:ascii="Arial" w:hAnsi="Arial"/>
          <w:b/>
          <w:sz w:val="22"/>
        </w:rPr>
        <w:t>BIBLIOGRAFÍA</w:t>
      </w:r>
    </w:p>
    <w:p>
      <w:pPr>
        <w:spacing w:after="60"/>
        <w:ind w:left="360" w:hanging="360"/>
        <w:jc w:val="both"/>
      </w:pPr>
      <w:r>
        <w:rPr>
          <w:rFonts w:ascii="Arial" w:hAnsi="Arial"/>
          <w:i w:val="0"/>
          <w:sz w:val="20"/>
        </w:rPr>
        <w:t xml:space="preserve">FERRER BELTRÁN, Jordi, </w:t>
      </w:r>
      <w:r>
        <w:rPr>
          <w:rFonts w:ascii="Arial" w:hAnsi="Arial"/>
          <w:i/>
          <w:sz w:val="20"/>
        </w:rPr>
        <w:t>Motivación y racionalidad de la prueba</w:t>
      </w:r>
      <w:r>
        <w:rPr>
          <w:rFonts w:ascii="Arial" w:hAnsi="Arial"/>
          <w:i w:val="0"/>
          <w:sz w:val="20"/>
        </w:rPr>
        <w:t>, Editora Jurídica Grijley, Lima, 2016.</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TARUFFO, Michele, </w:t>
      </w:r>
      <w:r>
        <w:rPr>
          <w:rFonts w:ascii="Arial" w:hAnsi="Arial"/>
          <w:i/>
          <w:sz w:val="20"/>
        </w:rPr>
        <w:t>Verdad, prueba y motivación en la decisión sobre los hechos</w:t>
      </w:r>
      <w:r>
        <w:rPr>
          <w:rFonts w:ascii="Arial" w:hAnsi="Arial"/>
          <w:i w:val="0"/>
          <w:sz w:val="20"/>
        </w:rPr>
        <w:t>, Tribunal Electoral del Poder Judicial de la Federación, México, 2013.</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