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28"/>
        </w:rPr>
        <w:t>MACHOTE. DEMANDA DE NULIDAD TFJA. RESTITUCIÓN DEFINITIVA DEL CERTIFICADO DE SELLO DIGITAL</w:t>
      </w:r>
    </w:p>
    <w:p>
      <w:pPr>
        <w:jc w:val="center"/>
      </w:pPr>
      <w:r>
        <w:rPr>
          <w:rFonts w:ascii="Arial" w:hAnsi="Arial"/>
          <w:sz w:val="20"/>
        </w:rPr>
        <w:t>Machote gratuito de Academia de Amparo y Derecho — academiadeamparo.com</w:t>
      </w:r>
    </w:p>
    <w:p/>
    <w:p>
      <w:r>
        <w:rPr>
          <w:rFonts w:ascii="Arial" w:hAnsi="Arial"/>
          <w:b/>
          <w:sz w:val="24"/>
        </w:rPr>
        <w:t>CÓMO USAR ESTE MACHOTE</w:t>
      </w:r>
    </w:p>
    <w:p>
      <w:pPr>
        <w:spacing w:line="360" w:lineRule="auto"/>
        <w:jc w:val="both"/>
      </w:pPr>
      <w:r>
        <w:rPr>
          <w:rFonts w:ascii="Arial" w:hAnsi="Arial"/>
          <w:b w:val="0"/>
          <w:i w:val="0"/>
          <w:sz w:val="24"/>
        </w:rPr>
        <w:t>Descarga el machote, léelo completo y adapta el concepto de impugnación a tu demanda de nulidad. Primero reconstruye la línea de tiempo con los acuses del buzón tributario: la notificación del oficio de restricción temporal, la presentación de la primera solicitud de aclaración, la fecha de emisión y la de notificación del oficio de cancelación definitiva, la segunda solicitud de aclaración y el oficio que confirmó que la medida persiste.</w:t>
      </w:r>
    </w:p>
    <w:p>
      <w:pPr>
        <w:spacing w:line="360" w:lineRule="auto"/>
        <w:jc w:val="both"/>
      </w:pPr>
      <w:r>
        <w:rPr>
          <w:rFonts w:ascii="Arial" w:hAnsi="Arial"/>
          <w:b w:val="0"/>
          <w:i w:val="0"/>
          <w:sz w:val="24"/>
        </w:rPr>
        <w:t>Cuenta el plazo máximo del artículo 17-H Bis en días hábiles conforme al calendario del Servicio de Administración Tributaria y verifica que la notificación del oficio de cancelación quedó fuera de él. Confirma en la Resolución Miscelánea Fiscal vigente el número de la regla y de la ficha de trámite del procedimiento de aclaración (en la Resolución Miscelánea Fiscal para 2025 eran la regla 2.2.15 y la ficha 296/CFF del Anexo 1-A). Después llena los campos, conserva los párrafos sobre procedencia si la autoridad suele oponer la improcedencia y pide en capítulo aparte la medida cautelar de reactivación provisional del certificado. Recuerda que la demanda de nulidad se presenta en treinta días (artículo 58-2, párrafo tercero, de la Ley Federal de Procedimiento Contencioso Administrativo, plazo que rige también en la vía sumaria).</w:t>
      </w:r>
    </w:p>
    <w:p>
      <w:pPr>
        <w:spacing w:line="360" w:lineRule="auto"/>
        <w:jc w:val="both"/>
      </w:pPr>
      <w:r>
        <w:rPr>
          <w:rFonts w:ascii="Arial" w:hAnsi="Arial"/>
          <w:b w:val="0"/>
          <w:i w:val="0"/>
          <w:sz w:val="24"/>
        </w:rPr>
        <w:t>Campos editables y qué poner en cada uno:</w:t>
      </w:r>
    </w:p>
    <w:p>
      <w:pPr>
        <w:spacing w:line="360" w:lineRule="auto"/>
        <w:jc w:val="both"/>
      </w:pPr>
      <w:r>
        <w:rPr>
          <w:rFonts w:ascii="Arial" w:hAnsi="Arial"/>
          <w:b/>
          <w:i w:val="0"/>
          <w:sz w:val="24"/>
        </w:rPr>
        <w:t>[NÚMERO ORDINAL DEL CONCEPTO]</w:t>
      </w:r>
      <w:r>
        <w:rPr>
          <w:rFonts w:ascii="Arial" w:hAnsi="Arial"/>
          <w:b w:val="0"/>
          <w:i w:val="0"/>
          <w:sz w:val="24"/>
        </w:rPr>
        <w:t>: el ordinal que le corresponda en tu demanda (PRIMERO, SEGUNDO…).</w:t>
      </w:r>
    </w:p>
    <w:p>
      <w:pPr>
        <w:spacing w:line="360" w:lineRule="auto"/>
        <w:jc w:val="both"/>
      </w:pPr>
      <w:r>
        <w:rPr>
          <w:rFonts w:ascii="Arial" w:hAnsi="Arial"/>
          <w:b/>
          <w:i w:val="0"/>
          <w:sz w:val="24"/>
        </w:rPr>
        <w:t>[NÚMERO DE OFICIO DE LA RESOLUCIÓN IMPUGNADA]</w:t>
      </w:r>
      <w:r>
        <w:rPr>
          <w:rFonts w:ascii="Arial" w:hAnsi="Arial"/>
          <w:b w:val="0"/>
          <w:i w:val="0"/>
          <w:sz w:val="24"/>
        </w:rPr>
        <w:t>: número exacto del oficio que determinó que persiste la cancelación del certificado.</w:t>
      </w:r>
    </w:p>
    <w:p>
      <w:pPr>
        <w:spacing w:line="360" w:lineRule="auto"/>
        <w:jc w:val="both"/>
      </w:pPr>
      <w:r>
        <w:rPr>
          <w:rFonts w:ascii="Arial" w:hAnsi="Arial"/>
          <w:b/>
          <w:i w:val="0"/>
          <w:sz w:val="24"/>
        </w:rPr>
        <w:t>[FECHA DE EMISIÓN DE LA RESOLUCIÓN IMPUGNADA]</w:t>
      </w:r>
      <w:r>
        <w:rPr>
          <w:rFonts w:ascii="Arial" w:hAnsi="Arial"/>
          <w:b w:val="0"/>
          <w:i w:val="0"/>
          <w:sz w:val="24"/>
        </w:rPr>
        <w:t>: fecha de ese oficio.</w:t>
      </w:r>
    </w:p>
    <w:p>
      <w:pPr>
        <w:spacing w:line="360" w:lineRule="auto"/>
        <w:jc w:val="both"/>
      </w:pPr>
      <w:r>
        <w:rPr>
          <w:rFonts w:ascii="Arial" w:hAnsi="Arial"/>
          <w:b/>
          <w:i w:val="0"/>
          <w:sz w:val="24"/>
        </w:rPr>
        <w:t>[FECHA DE NOTIFICACIÓN DE LA RESOLUCIÓN IMPUGNADA]</w:t>
      </w:r>
      <w:r>
        <w:rPr>
          <w:rFonts w:ascii="Arial" w:hAnsi="Arial"/>
          <w:b w:val="0"/>
          <w:i w:val="0"/>
          <w:sz w:val="24"/>
        </w:rPr>
        <w:t>: fecha en que se notificó por buzón tributario, según el acuse.</w:t>
      </w:r>
    </w:p>
    <w:p>
      <w:pPr>
        <w:spacing w:line="360" w:lineRule="auto"/>
        <w:jc w:val="both"/>
      </w:pPr>
      <w:r>
        <w:rPr>
          <w:rFonts w:ascii="Arial" w:hAnsi="Arial"/>
          <w:b/>
          <w:i w:val="0"/>
          <w:sz w:val="24"/>
        </w:rPr>
        <w:t>[AUTORIDAD DEMANDADA]</w:t>
      </w:r>
      <w:r>
        <w:rPr>
          <w:rFonts w:ascii="Arial" w:hAnsi="Arial"/>
          <w:b w:val="0"/>
          <w:i w:val="0"/>
          <w:sz w:val="24"/>
        </w:rPr>
        <w:t>: la Administración Desconcentrada o unidad emisora, con su denominación completa.</w:t>
      </w:r>
    </w:p>
    <w:p>
      <w:pPr>
        <w:spacing w:line="360" w:lineRule="auto"/>
        <w:jc w:val="both"/>
      </w:pPr>
      <w:r>
        <w:rPr>
          <w:rFonts w:ascii="Arial" w:hAnsi="Arial"/>
          <w:b/>
          <w:i w:val="0"/>
          <w:sz w:val="24"/>
        </w:rPr>
        <w:t>[NOMBRE DE LA PARTE ACTORA]</w:t>
      </w:r>
      <w:r>
        <w:rPr>
          <w:rFonts w:ascii="Arial" w:hAnsi="Arial"/>
          <w:b w:val="0"/>
          <w:i w:val="0"/>
          <w:sz w:val="24"/>
        </w:rPr>
        <w:t>: denominación o razón social de la contribuyente.</w:t>
      </w:r>
    </w:p>
    <w:p>
      <w:pPr>
        <w:spacing w:line="360" w:lineRule="auto"/>
        <w:jc w:val="both"/>
      </w:pPr>
      <w:r>
        <w:rPr>
          <w:rFonts w:ascii="Arial" w:hAnsi="Arial"/>
          <w:b/>
          <w:i w:val="0"/>
          <w:sz w:val="24"/>
        </w:rPr>
        <w:t>[FRACCIÓN DEL ARTÍCULO 17-H BIS INVOCADA POR LA AUTORIDAD]</w:t>
      </w:r>
      <w:r>
        <w:rPr>
          <w:rFonts w:ascii="Arial" w:hAnsi="Arial"/>
          <w:b w:val="0"/>
          <w:i w:val="0"/>
          <w:sz w:val="24"/>
        </w:rPr>
        <w:t>: la fracción del primer párrafo del artículo 17-H Bis que citó el oficio de restricción temporal; cópiala del oficio.</w:t>
      </w:r>
    </w:p>
    <w:p>
      <w:pPr>
        <w:spacing w:line="360" w:lineRule="auto"/>
        <w:jc w:val="both"/>
      </w:pPr>
      <w:r>
        <w:rPr>
          <w:rFonts w:ascii="Arial" w:hAnsi="Arial"/>
          <w:b/>
          <w:i w:val="0"/>
          <w:sz w:val="24"/>
        </w:rPr>
        <w:t>[FECHA DE NOTIFICACIÓN DEL OFICIO DE RESTRICCIÓN TEMPORAL]</w:t>
      </w:r>
      <w:r>
        <w:rPr>
          <w:rFonts w:ascii="Arial" w:hAnsi="Arial"/>
          <w:b w:val="0"/>
          <w:i w:val="0"/>
          <w:sz w:val="24"/>
        </w:rPr>
        <w:t>: fecha en que se notificó por buzón tributario el oficio que restringió el certificado.</w:t>
      </w:r>
    </w:p>
    <w:p>
      <w:pPr>
        <w:spacing w:line="360" w:lineRule="auto"/>
        <w:jc w:val="both"/>
      </w:pPr>
      <w:r>
        <w:rPr>
          <w:rFonts w:ascii="Arial" w:hAnsi="Arial"/>
          <w:b/>
          <w:i w:val="0"/>
          <w:sz w:val="24"/>
        </w:rPr>
        <w:t>[FECHA DE PRESENTACIÓN DE LA PRIMERA SOLICITUD DE ACLARACIÓN]</w:t>
      </w:r>
      <w:r>
        <w:rPr>
          <w:rFonts w:ascii="Arial" w:hAnsi="Arial"/>
          <w:b w:val="0"/>
          <w:i w:val="0"/>
          <w:sz w:val="24"/>
        </w:rPr>
        <w:t>: fecha del acuse de la primera aclaración presentada con argumentos y pruebas.</w:t>
      </w:r>
    </w:p>
    <w:p>
      <w:pPr>
        <w:spacing w:line="360" w:lineRule="auto"/>
        <w:jc w:val="both"/>
      </w:pPr>
      <w:r>
        <w:rPr>
          <w:rFonts w:ascii="Arial" w:hAnsi="Arial"/>
          <w:b/>
          <w:i w:val="0"/>
          <w:sz w:val="24"/>
        </w:rPr>
        <w:t>[FECHA EN QUE INICIÓ EL PLAZO DE DIEZ DÍAS]</w:t>
      </w:r>
      <w:r>
        <w:rPr>
          <w:rFonts w:ascii="Arial" w:hAnsi="Arial"/>
          <w:b w:val="0"/>
          <w:i w:val="0"/>
          <w:sz w:val="24"/>
        </w:rPr>
        <w:t>: día hábil siguiente a la presentación de esa aclaración.</w:t>
      </w:r>
    </w:p>
    <w:p>
      <w:pPr>
        <w:spacing w:line="360" w:lineRule="auto"/>
        <w:jc w:val="both"/>
      </w:pPr>
      <w:r>
        <w:rPr>
          <w:rFonts w:ascii="Arial" w:hAnsi="Arial"/>
          <w:b/>
          <w:i w:val="0"/>
          <w:sz w:val="24"/>
        </w:rPr>
        <w:t>[FECHA EN QUE VENCIÓ EL PLAZO DE DIEZ DÍAS]</w:t>
      </w:r>
      <w:r>
        <w:rPr>
          <w:rFonts w:ascii="Arial" w:hAnsi="Arial"/>
          <w:b w:val="0"/>
          <w:i w:val="0"/>
          <w:sz w:val="24"/>
        </w:rPr>
        <w:t>: décimo día hábil contado desde el inicio, conforme al calendario del SAT.</w:t>
      </w:r>
    </w:p>
    <w:p>
      <w:pPr>
        <w:spacing w:line="360" w:lineRule="auto"/>
        <w:jc w:val="both"/>
      </w:pPr>
      <w:r>
        <w:rPr>
          <w:rFonts w:ascii="Arial" w:hAnsi="Arial"/>
          <w:b/>
          <w:i w:val="0"/>
          <w:sz w:val="24"/>
        </w:rPr>
        <w:t>[FECHA DE EMISIÓN DEL OFICIO DE CANCELACIÓN DEFINITIVA]</w:t>
      </w:r>
      <w:r>
        <w:rPr>
          <w:rFonts w:ascii="Arial" w:hAnsi="Arial"/>
          <w:b w:val="0"/>
          <w:i w:val="0"/>
          <w:sz w:val="24"/>
        </w:rPr>
        <w:t>: fecha que ostenta el oficio que dejó sin efectos el certificado.</w:t>
      </w:r>
    </w:p>
    <w:p>
      <w:pPr>
        <w:spacing w:line="360" w:lineRule="auto"/>
        <w:jc w:val="both"/>
      </w:pPr>
      <w:r>
        <w:rPr>
          <w:rFonts w:ascii="Arial" w:hAnsi="Arial"/>
          <w:b/>
          <w:i w:val="0"/>
          <w:sz w:val="24"/>
        </w:rPr>
        <w:t>[FECHA DE NOTIFICACIÓN DEL OFICIO DE CANCELACIÓN DEFINITIVA]</w:t>
      </w:r>
      <w:r>
        <w:rPr>
          <w:rFonts w:ascii="Arial" w:hAnsi="Arial"/>
          <w:b w:val="0"/>
          <w:i w:val="0"/>
          <w:sz w:val="24"/>
        </w:rPr>
        <w:t>: fecha del acuse de notificación por buzón tributario de ese oficio; debe ser posterior al vencimiento.</w:t>
      </w:r>
    </w:p>
    <w:p>
      <w:pPr>
        <w:spacing w:line="360" w:lineRule="auto"/>
        <w:jc w:val="both"/>
      </w:pPr>
      <w:r>
        <w:rPr>
          <w:rFonts w:ascii="Arial" w:hAnsi="Arial"/>
          <w:b/>
          <w:i w:val="0"/>
          <w:sz w:val="24"/>
        </w:rPr>
        <w:t>[FECHA DE PRESENTACIÓN DE LA SEGUNDA SOLICITUD DE ACLARACIÓN]</w:t>
      </w:r>
      <w:r>
        <w:rPr>
          <w:rFonts w:ascii="Arial" w:hAnsi="Arial"/>
          <w:b w:val="0"/>
          <w:i w:val="0"/>
          <w:sz w:val="24"/>
        </w:rPr>
        <w:t>: fecha del acuse de la aclaración a la que recayó el oficio impugnado.</w:t>
      </w:r>
    </w:p>
    <w:p>
      <w:pPr>
        <w:spacing w:line="360" w:lineRule="auto"/>
        <w:jc w:val="both"/>
      </w:pPr>
      <w:r>
        <w:rPr>
          <w:rFonts w:ascii="Arial" w:hAnsi="Arial"/>
          <w:b/>
          <w:i w:val="0"/>
          <w:sz w:val="24"/>
        </w:rPr>
        <w:t>[VERIFICAR NUMERACIÓN VIGENTE DE LA REGLA Y DE LA FICHA DE TRÁMITE]</w:t>
      </w:r>
      <w:r>
        <w:rPr>
          <w:rFonts w:ascii="Arial" w:hAnsi="Arial"/>
          <w:b w:val="0"/>
          <w:i w:val="0"/>
          <w:sz w:val="24"/>
        </w:rPr>
        <w:t>: sustituye este aviso por el número de la regla de la Resolución Miscelánea Fiscal y de la ficha del Anexo 1-A vigentes en la fecha de tu demanda, o elimínalo.</w:t>
      </w:r>
    </w:p>
    <w:p/>
    <w:p>
      <w:pPr>
        <w:spacing w:line="360" w:lineRule="auto"/>
        <w:jc w:val="both"/>
      </w:pPr>
      <w:r>
        <w:rPr>
          <w:rFonts w:ascii="Arial" w:hAnsi="Arial"/>
          <w:b/>
          <w:sz w:val="28"/>
        </w:rPr>
        <w:t>[NÚMERO ORDINAL DEL CONCEPTO] CONCEPTO DE IMPUGNACIÓN. La resolución que declaró que «persiste» la cancelación del certificado de sello digital es fruto de un procedimiento viciado: la autoridad resolvió la primera solicitud de aclaración fuera del plazo máximo que fija el artículo 17-H Bis, segundo párrafo, del Código Fiscal de la Federación, omisión de un requisito formal trascendente que actualiza la causal del artículo 51, fracción II, de la Ley Federal de Procedimiento Contencioso Administrativo y obliga a restituir de manera definitiva el uso del certificado, conforme al artículo 52, fracción V, de la misma ley.</w:t>
      </w:r>
    </w:p>
    <w:p>
      <w:pPr>
        <w:spacing w:line="360" w:lineRule="auto"/>
        <w:jc w:val="both"/>
      </w:pPr>
      <w:r>
        <w:rPr>
          <w:rFonts w:ascii="Arial" w:hAnsi="Arial"/>
          <w:b/>
          <w:sz w:val="28"/>
        </w:rPr>
        <w:t>I. Síntesis del concepto.</w:t>
      </w:r>
    </w:p>
    <w:p>
      <w:pPr>
        <w:spacing w:line="360" w:lineRule="auto"/>
        <w:jc w:val="both"/>
      </w:pPr>
      <w:r>
        <w:rPr>
          <w:rFonts w:ascii="Arial" w:hAnsi="Arial"/>
          <w:b w:val="0"/>
          <w:i w:val="0"/>
          <w:sz w:val="28"/>
        </w:rPr>
        <w:t xml:space="preserve">En este apartado se demostrará que el oficio </w:t>
      </w:r>
      <w:r>
        <w:rPr>
          <w:rFonts w:ascii="Arial" w:hAnsi="Arial"/>
          <w:b/>
          <w:i w:val="0"/>
          <w:sz w:val="28"/>
        </w:rPr>
        <w:t>[NÚMERO DE OFICIO DE LA RESOLUCIÓN IMPUGNADA]</w:t>
      </w:r>
      <w:r>
        <w:rPr>
          <w:rFonts w:ascii="Arial" w:hAnsi="Arial"/>
          <w:b w:val="0"/>
          <w:i w:val="0"/>
          <w:sz w:val="28"/>
        </w:rPr>
        <w:t xml:space="preserve">, de </w:t>
      </w:r>
      <w:r>
        <w:rPr>
          <w:rFonts w:ascii="Arial" w:hAnsi="Arial"/>
          <w:b/>
          <w:i w:val="0"/>
          <w:sz w:val="28"/>
        </w:rPr>
        <w:t>[FECHA DE EMISIÓN DE LA RESOLUCIÓN IMPUGNADA]</w:t>
      </w:r>
      <w:r>
        <w:rPr>
          <w:rFonts w:ascii="Arial" w:hAnsi="Arial"/>
          <w:b w:val="0"/>
          <w:i w:val="0"/>
          <w:sz w:val="28"/>
        </w:rPr>
        <w:t xml:space="preserve">, emitido por la </w:t>
      </w:r>
      <w:r>
        <w:rPr>
          <w:rFonts w:ascii="Arial" w:hAnsi="Arial"/>
          <w:b/>
          <w:i w:val="0"/>
          <w:sz w:val="28"/>
        </w:rPr>
        <w:t>[AUTORIDAD DEMANDADA]</w:t>
      </w:r>
      <w:r>
        <w:rPr>
          <w:rFonts w:ascii="Arial" w:hAnsi="Arial"/>
          <w:b w:val="0"/>
          <w:i w:val="0"/>
          <w:sz w:val="28"/>
        </w:rPr>
        <w:t xml:space="preserve">, mediante el cual se determinó que </w:t>
      </w:r>
      <w:r>
        <w:rPr>
          <w:rFonts w:ascii="Arial" w:hAnsi="Arial"/>
          <w:b w:val="0"/>
          <w:i/>
          <w:sz w:val="28"/>
        </w:rPr>
        <w:t>«persiste la medida»</w:t>
      </w:r>
      <w:r>
        <w:rPr>
          <w:rFonts w:ascii="Arial" w:hAnsi="Arial"/>
          <w:b w:val="0"/>
          <w:i w:val="0"/>
          <w:sz w:val="28"/>
        </w:rPr>
        <w:t xml:space="preserve"> consistente en dejar sin efectos el certificado de sello digital de </w:t>
      </w:r>
      <w:r>
        <w:rPr>
          <w:rFonts w:ascii="Arial" w:hAnsi="Arial"/>
          <w:b/>
          <w:i w:val="0"/>
          <w:sz w:val="28"/>
        </w:rPr>
        <w:t>[NOMBRE DE LA PARTE ACTORA]</w:t>
      </w:r>
      <w:r>
        <w:rPr>
          <w:rFonts w:ascii="Arial" w:hAnsi="Arial"/>
          <w:b w:val="0"/>
          <w:i w:val="0"/>
          <w:sz w:val="28"/>
        </w:rPr>
        <w:t>, es ilegal porque deriva de un procedimiento en el que la autoridad no resolvió la primera solicitud de aclaración dentro del plazo máximo que le impone el artículo 17-H Bis, segundo párrafo, del Código Fiscal de la Federación.</w:t>
      </w:r>
    </w:p>
    <w:p>
      <w:pPr>
        <w:spacing w:line="360" w:lineRule="auto"/>
        <w:jc w:val="both"/>
      </w:pPr>
      <w:r>
        <w:rPr>
          <w:rFonts w:ascii="Arial" w:hAnsi="Arial"/>
          <w:b w:val="0"/>
          <w:i w:val="0"/>
          <w:sz w:val="28"/>
        </w:rPr>
        <w:t>La demostración descansa en tres piezas encadenadas. Primera: el oficio que responde en sentido desfavorable a la aclaración es una resolución definitiva, porque contiene la última voluntad de la autoridad una vez agotado el procedimiento, de modo que el juicio es procedente en términos del artículo 3, fracción V, de la Ley Orgánica del Tribunal Federal de Justicia Administrativa.</w:t>
      </w:r>
    </w:p>
    <w:p>
      <w:pPr>
        <w:spacing w:line="360" w:lineRule="auto"/>
        <w:jc w:val="both"/>
      </w:pPr>
      <w:r>
        <w:rPr>
          <w:rFonts w:ascii="Arial" w:hAnsi="Arial"/>
          <w:b w:val="0"/>
          <w:i w:val="0"/>
          <w:sz w:val="28"/>
        </w:rPr>
        <w:t>Segunda: el plazo del artículo 17-H Bis no es una recomendación sin consecuencias, sino un requisito formal cuya omisión afecta las defensas de la contribuyente y trasciende al sentido del acto, hipótesis exacta del artículo 51, fracción II, de la ley procesal.</w:t>
      </w:r>
    </w:p>
    <w:p>
      <w:pPr>
        <w:spacing w:line="360" w:lineRule="auto"/>
        <w:jc w:val="both"/>
      </w:pPr>
      <w:r>
        <w:rPr>
          <w:rFonts w:ascii="Arial" w:hAnsi="Arial"/>
          <w:b w:val="0"/>
          <w:i w:val="0"/>
          <w:sz w:val="28"/>
        </w:rPr>
        <w:t>Tercera: el vicio del oficio que canceló el certificado se transmite al oficio impugnado, que se limitó a confirmar que la medida persistía, por lo que la consecuencia no puede ser una simple reposición del trámite, sino la nulidad con condena a restituir a la parte actora en el goce de sus derechos y a restablecer, de manera definitiva, el uso de su certificado de sello digital, con fundamento en el artículo 52, fracción V, de la Ley Federal de Procedimiento Contencioso Administrativo.</w:t>
      </w:r>
    </w:p>
    <w:p>
      <w:pPr>
        <w:spacing w:line="360" w:lineRule="auto"/>
        <w:jc w:val="both"/>
      </w:pPr>
      <w:r>
        <w:rPr>
          <w:rFonts w:ascii="Arial" w:hAnsi="Arial"/>
          <w:b/>
          <w:sz w:val="28"/>
        </w:rPr>
        <w:t>II. Planteamiento.</w:t>
      </w:r>
    </w:p>
    <w:p>
      <w:pPr>
        <w:spacing w:line="360" w:lineRule="auto"/>
        <w:jc w:val="both"/>
      </w:pPr>
      <w:r>
        <w:rPr>
          <w:rFonts w:ascii="Arial" w:hAnsi="Arial"/>
          <w:b w:val="0"/>
          <w:i w:val="0"/>
          <w:sz w:val="28"/>
        </w:rPr>
        <w:t xml:space="preserve">El acto cuya nulidad se demanda es el oficio </w:t>
      </w:r>
      <w:r>
        <w:rPr>
          <w:rFonts w:ascii="Arial" w:hAnsi="Arial"/>
          <w:b/>
          <w:i w:val="0"/>
          <w:sz w:val="28"/>
        </w:rPr>
        <w:t>[NÚMERO DE OFICIO DE LA RESOLUCIÓN IMPUGNADA]</w:t>
      </w:r>
      <w:r>
        <w:rPr>
          <w:rFonts w:ascii="Arial" w:hAnsi="Arial"/>
          <w:b w:val="0"/>
          <w:i w:val="0"/>
          <w:sz w:val="28"/>
        </w:rPr>
        <w:t xml:space="preserve">, de </w:t>
      </w:r>
      <w:r>
        <w:rPr>
          <w:rFonts w:ascii="Arial" w:hAnsi="Arial"/>
          <w:b/>
          <w:i w:val="0"/>
          <w:sz w:val="28"/>
        </w:rPr>
        <w:t>[FECHA DE EMISIÓN DE LA RESOLUCIÓN IMPUGNADA]</w:t>
      </w:r>
      <w:r>
        <w:rPr>
          <w:rFonts w:ascii="Arial" w:hAnsi="Arial"/>
          <w:b w:val="0"/>
          <w:i w:val="0"/>
          <w:sz w:val="28"/>
        </w:rPr>
        <w:t xml:space="preserve">, notificado por buzón tributario el </w:t>
      </w:r>
      <w:r>
        <w:rPr>
          <w:rFonts w:ascii="Arial" w:hAnsi="Arial"/>
          <w:b/>
          <w:i w:val="0"/>
          <w:sz w:val="28"/>
        </w:rPr>
        <w:t>[FECHA DE NOTIFICACIÓN DE LA RESOLUCIÓN IMPUGNADA]</w:t>
      </w:r>
      <w:r>
        <w:rPr>
          <w:rFonts w:ascii="Arial" w:hAnsi="Arial"/>
          <w:b w:val="0"/>
          <w:i w:val="0"/>
          <w:sz w:val="28"/>
        </w:rPr>
        <w:t xml:space="preserve">, por el que la </w:t>
      </w:r>
      <w:r>
        <w:rPr>
          <w:rFonts w:ascii="Arial" w:hAnsi="Arial"/>
          <w:b/>
          <w:i w:val="0"/>
          <w:sz w:val="28"/>
        </w:rPr>
        <w:t>[AUTORIDAD DEMANDADA]</w:t>
      </w:r>
      <w:r>
        <w:rPr>
          <w:rFonts w:ascii="Arial" w:hAnsi="Arial"/>
          <w:b w:val="0"/>
          <w:i w:val="0"/>
          <w:sz w:val="28"/>
        </w:rPr>
        <w:t xml:space="preserve"> resolvió la solicitud de aclaración presentada al amparo del artículo 17-H del Código Fiscal de la Federación y determinó que persiste la cancelación del certificado de sello digital, con fundamento en el artículo 17-H, fracción X, en relación con el artículo 17-H Bis, fracción </w:t>
      </w:r>
      <w:r>
        <w:rPr>
          <w:rFonts w:ascii="Arial" w:hAnsi="Arial"/>
          <w:b/>
          <w:i w:val="0"/>
          <w:sz w:val="28"/>
        </w:rPr>
        <w:t>[FRACCIÓN DEL ARTÍCULO 17-H BIS INVOCADA POR LA AUTORIDAD]</w:t>
      </w:r>
      <w:r>
        <w:rPr>
          <w:rFonts w:ascii="Arial" w:hAnsi="Arial"/>
          <w:b w:val="0"/>
          <w:i w:val="0"/>
          <w:sz w:val="28"/>
        </w:rPr>
        <w:t>, del propio código.</w:t>
      </w:r>
    </w:p>
    <w:p>
      <w:pPr>
        <w:spacing w:line="360" w:lineRule="auto"/>
        <w:jc w:val="both"/>
      </w:pPr>
      <w:r>
        <w:rPr>
          <w:rFonts w:ascii="Arial" w:hAnsi="Arial"/>
          <w:b w:val="0"/>
          <w:i w:val="0"/>
          <w:sz w:val="28"/>
        </w:rPr>
        <w:t xml:space="preserve">Conviene despejar desde ahora la objeción de procedencia que la autoridad opone de manera sistemática en estos asuntos: que el oficio es </w:t>
      </w:r>
      <w:r>
        <w:rPr>
          <w:rFonts w:ascii="Arial" w:hAnsi="Arial"/>
          <w:b w:val="0"/>
          <w:i/>
          <w:sz w:val="28"/>
        </w:rPr>
        <w:t>«temporal y provisional»</w:t>
      </w:r>
      <w:r>
        <w:rPr>
          <w:rFonts w:ascii="Arial" w:hAnsi="Arial"/>
          <w:b w:val="0"/>
          <w:i w:val="0"/>
          <w:sz w:val="28"/>
        </w:rPr>
        <w:t>, reversible si la contribuyente subsana las irregularidades, y que por ello no encuadra en el artículo 3 de la Ley Orgánica del Tribunal, de modo que se actualizarían las causales de los artículos 8, fracción II, y 9, fracción II, de la Ley Federal de Procedimiento Contencioso Administrativo. La objeción confunde la naturaleza de la medida con la naturaleza de la resolución que la confirma.</w:t>
      </w:r>
    </w:p>
    <w:p>
      <w:pPr>
        <w:spacing w:line="360" w:lineRule="auto"/>
        <w:jc w:val="both"/>
      </w:pPr>
      <w:r>
        <w:rPr>
          <w:rFonts w:ascii="Arial" w:hAnsi="Arial"/>
          <w:b w:val="0"/>
          <w:i w:val="0"/>
          <w:sz w:val="28"/>
        </w:rPr>
        <w:t xml:space="preserve">La doctrina advierte que la expresión </w:t>
      </w:r>
      <w:r>
        <w:rPr>
          <w:rFonts w:ascii="Arial" w:hAnsi="Arial"/>
          <w:b w:val="0"/>
          <w:i/>
          <w:sz w:val="28"/>
        </w:rPr>
        <w:t>«resolución definitiva»</w:t>
      </w:r>
      <w:r>
        <w:rPr>
          <w:rFonts w:ascii="Arial" w:hAnsi="Arial"/>
          <w:b w:val="0"/>
          <w:i w:val="0"/>
          <w:sz w:val="28"/>
        </w:rPr>
        <w:t xml:space="preserve"> se asocia indebidamente con el principio de definitividad, cuando en realidad designa la última decisión adoptada en el procedimiento, la resolución con que éste culmina o que le da fin.</w:t>
      </w:r>
      <w:r>
        <w:rPr>
          <w:rFonts w:ascii="Arial" w:hAnsi="Arial"/>
          <w:vertAlign w:val="superscript"/>
        </w:rPr>
        <w:t>1</w:t>
      </w:r>
      <w:r>
        <w:rPr>
          <w:rFonts w:ascii="Arial" w:hAnsi="Arial"/>
          <w:b w:val="0"/>
          <w:i w:val="0"/>
          <w:sz w:val="28"/>
        </w:rPr>
        <w:t xml:space="preserve"> El oficio impugnado es exactamente eso: la contribuyente agotó la vía de aclaración que la ley le concede, la autoridad valoró sus argumentos y pruebas y resolvió en sentido desfavorable. Después de ese pronunciamiento no queda instancia administrativa alguna.</w:t>
      </w:r>
    </w:p>
    <w:p>
      <w:pPr>
        <w:spacing w:line="360" w:lineRule="auto"/>
        <w:jc w:val="both"/>
      </w:pPr>
      <w:r>
        <w:rPr>
          <w:rFonts w:ascii="Arial" w:hAnsi="Arial"/>
          <w:b w:val="0"/>
          <w:i w:val="0"/>
          <w:sz w:val="28"/>
        </w:rPr>
        <w:t>La voluntad del fisco está, pues, expresada de manera final y produce un agravio en materia fiscal, supuesto de la fracción V del artículo 3 de la Ley Orgánica del Tribunal Federal de Justicia Administrativa. Como lo ha reconocido la Sala en casos análogos, el oficio que resuelve la aclaración en sentido no favorable refleja la última voluntad de la autoridad fiscal, una vez que la contribuyente agotó el procedimiento del artículo 17-H Bis, y es impugnable en esta vía, sin que las causales de improcedencia invocadas puedan prosperar.</w:t>
      </w:r>
    </w:p>
    <w:p>
      <w:pPr>
        <w:spacing w:line="360" w:lineRule="auto"/>
        <w:jc w:val="both"/>
      </w:pPr>
      <w:r>
        <w:rPr>
          <w:rFonts w:ascii="Arial" w:hAnsi="Arial"/>
          <w:b w:val="0"/>
          <w:i w:val="0"/>
          <w:sz w:val="28"/>
        </w:rPr>
        <w:t xml:space="preserve">Las normas cuya inobservancia se plantea son el artículo 17-H Bis, segundo y último párrafos, del Código Fiscal de la Federación, que ordena a la autoridad emitir la resolución sobre la aclaración </w:t>
      </w:r>
      <w:r>
        <w:rPr>
          <w:rFonts w:ascii="Arial" w:hAnsi="Arial"/>
          <w:b w:val="0"/>
          <w:i/>
          <w:sz w:val="28"/>
        </w:rPr>
        <w:t>«en un plazo máximo de diez días, contado a partir del día siguiente a aquél en que se reciba la solicitud correspondiente»</w:t>
      </w:r>
      <w:r>
        <w:rPr>
          <w:rFonts w:ascii="Arial" w:hAnsi="Arial"/>
          <w:b w:val="0"/>
          <w:i w:val="0"/>
          <w:sz w:val="28"/>
        </w:rPr>
        <w:t>, y el artículo 16, primer párrafo, de la Constitución Política de los Estados Unidos Mexicanos, del que derivan los principios de legalidad y seguridad jurídica que impiden a la administración actuar fuera de los cauces temporales que la ley le impone.</w:t>
      </w:r>
    </w:p>
    <w:p>
      <w:pPr>
        <w:spacing w:line="360" w:lineRule="auto"/>
        <w:jc w:val="both"/>
      </w:pPr>
      <w:r>
        <w:rPr>
          <w:rFonts w:ascii="Arial" w:hAnsi="Arial"/>
          <w:b w:val="0"/>
          <w:i w:val="0"/>
          <w:sz w:val="28"/>
        </w:rPr>
        <w:t>El perjuicio es inmediato y de la mayor gravedad económica: sin certificado de sello digital la parte actora no puede expedir comprobantes fiscales digitales por internet, es decir, no puede facturar ni operar en condiciones normales, lo que paraliza su actividad. De prosperar este concepto, el beneficio es el mayor que puede obtenerse en el juicio: no una reposición del procedimiento para que la autoridad resuelva de nuevo, sino la restitución definitiva del certificado.</w:t>
      </w:r>
    </w:p>
    <w:p>
      <w:pPr>
        <w:spacing w:line="360" w:lineRule="auto"/>
        <w:jc w:val="both"/>
      </w:pPr>
      <w:r>
        <w:rPr>
          <w:rFonts w:ascii="Arial" w:hAnsi="Arial"/>
          <w:b/>
          <w:sz w:val="28"/>
        </w:rPr>
        <w:t>III. Desarrollo doctrinal y normativo. Premisa mayor.</w:t>
      </w:r>
    </w:p>
    <w:p>
      <w:pPr>
        <w:spacing w:line="360" w:lineRule="auto"/>
        <w:jc w:val="both"/>
      </w:pPr>
      <w:r>
        <w:rPr>
          <w:rFonts w:ascii="Arial" w:hAnsi="Arial"/>
          <w:b w:val="0"/>
          <w:i w:val="0"/>
          <w:sz w:val="28"/>
        </w:rPr>
        <w:t>El punto de partida es la seguridad jurídica. La doctrina la define como la estabilidad del ordenamiento, integrado por normas con permanencia que garantizan el equilibrio en las relaciones entre los órganos del Estado y las personas, y señala como primer elemento la certeza jurídica, entendida como el conocimiento seguro, claro y evidente de las normas existentes.</w:t>
      </w:r>
      <w:r>
        <w:rPr>
          <w:rFonts w:ascii="Arial" w:hAnsi="Arial"/>
          <w:vertAlign w:val="superscript"/>
        </w:rPr>
        <w:t>2</w:t>
      </w:r>
      <w:r>
        <w:rPr>
          <w:rFonts w:ascii="Arial" w:hAnsi="Arial"/>
          <w:b w:val="0"/>
          <w:i w:val="0"/>
          <w:sz w:val="28"/>
        </w:rPr>
        <w:t xml:space="preserve"> Cuando la ley fija a la autoridad un plazo máximo para resolver está construyendo certeza: la persona sabe hasta cuándo puede esperar una definición de su situación y a partir de cuándo la demora se convierte en ilegalidad.</w:t>
      </w:r>
    </w:p>
    <w:p>
      <w:pPr>
        <w:spacing w:line="360" w:lineRule="auto"/>
        <w:jc w:val="both"/>
      </w:pPr>
      <w:r>
        <w:rPr>
          <w:rFonts w:ascii="Arial" w:hAnsi="Arial"/>
          <w:b w:val="0"/>
          <w:i w:val="0"/>
          <w:sz w:val="28"/>
        </w:rPr>
        <w:t>El artículo 17-H Bis del Código Fiscal de la Federación responde a esa lógica. Su segundo párrafo concede a la contribuyente un plazo no mayor a cuarenta días hábiles para presentar la solicitud de aclaración, ordena que al día siguiente de la solicitud se restablezca el uso del certificado y manda a la autoridad emitir la resolución en un plazo máximo de diez días contado desde el día siguiente a la recepción, dándola a conocer por buzón tributario. Su último párrafo dispone que, si la contribuyente no subsanó ni desvirtuó, la autoridad emitirá resolución para dejar sin efectos el certificado.</w:t>
      </w:r>
    </w:p>
    <w:p>
      <w:pPr>
        <w:spacing w:line="360" w:lineRule="auto"/>
        <w:jc w:val="both"/>
      </w:pPr>
      <w:r>
        <w:rPr>
          <w:rFonts w:ascii="Arial" w:hAnsi="Arial"/>
          <w:b w:val="0"/>
          <w:i w:val="0"/>
          <w:sz w:val="28"/>
        </w:rPr>
        <w:t>La estructura es un equilibrio deliberado. La restricción temporal es una medida gravísima, y el legislador la compensó con dos contrapesos: el restablecimiento del certificado durante la aclaración y un plazo breve y perentorio para que la autoridad defina. El plazo no es un adorno; es la pieza que impide que la restricción, concebida como temporal, se prolongue de hecho de manera indefinida.</w:t>
      </w:r>
    </w:p>
    <w:p>
      <w:pPr>
        <w:spacing w:line="360" w:lineRule="auto"/>
        <w:jc w:val="both"/>
      </w:pPr>
      <w:r>
        <w:rPr>
          <w:rFonts w:ascii="Arial" w:hAnsi="Arial"/>
          <w:b w:val="0"/>
          <w:i w:val="0"/>
          <w:sz w:val="28"/>
        </w:rPr>
        <w:t xml:space="preserve">La regla de la Resolución Miscelánea Fiscal que desarrolla el procedimiento reitera ese plazo y precisa que la notificación por buzón tributario sólo se tiene por hecha dentro de él si el procedimiento de notificación se inicia a más tardar el último día del plazo; la ficha de trámite del Anexo 1-A a la que esa regla remite es la vía por la que se presenta la aclaración </w:t>
      </w:r>
      <w:r>
        <w:rPr>
          <w:rFonts w:ascii="Arial" w:hAnsi="Arial"/>
          <w:b/>
          <w:i w:val="0"/>
          <w:sz w:val="28"/>
        </w:rPr>
        <w:t>[VERIFICAR NUMERACIÓN VIGENTE DE LA REGLA Y DE LA FICHA DE TRÁMITE]</w:t>
      </w:r>
      <w:r>
        <w:rPr>
          <w:rFonts w:ascii="Arial" w:hAnsi="Arial"/>
          <w:b w:val="0"/>
          <w:i w:val="0"/>
          <w:sz w:val="28"/>
        </w:rPr>
        <w:t>.</w:t>
      </w:r>
    </w:p>
    <w:p>
      <w:pPr>
        <w:spacing w:line="360" w:lineRule="auto"/>
        <w:jc w:val="both"/>
      </w:pPr>
      <w:r>
        <w:rPr>
          <w:rFonts w:ascii="Arial" w:hAnsi="Arial"/>
          <w:b w:val="0"/>
          <w:i w:val="0"/>
          <w:sz w:val="28"/>
        </w:rPr>
        <w:t>De ahí que el plazo máximo para resolver sea un requisito formal del procedimiento en el sentido del artículo 51, fracción II, de la Ley Federal de Procedimiento Contencioso Administrativo, que declara ilegal la resolución cuando se omiten los requisitos formales exigidos por las leyes, siempre que la omisión afecte las defensas del particular y trascienda al sentido de la resolución impugnada. Ambas condiciones concurren: las defensas se afectan porque la contribuyente queda sometida a una autoridad que decide cuándo resolverá; la trascendencia radica en que la resolución tardía es la que cancela el certificado.</w:t>
      </w:r>
    </w:p>
    <w:p>
      <w:pPr>
        <w:spacing w:line="360" w:lineRule="auto"/>
        <w:jc w:val="both"/>
      </w:pPr>
      <w:r>
        <w:rPr>
          <w:rFonts w:ascii="Arial" w:hAnsi="Arial"/>
          <w:b w:val="0"/>
          <w:i w:val="0"/>
          <w:sz w:val="28"/>
        </w:rPr>
        <w:t>Es importante precisar lo que este concepto no sostiene. No se afirma que el vencimiento del plazo extinga las facultades de la autoridad por caducidad, ni que opere preclusión alguna; el artículo 17-H Bis no prevé esa consecuencia y la Sala lo ha reconocido así en casos análogos. Lo que se sostiene es distinto y más sólido: que la ausencia de una sanción expresa en el propio precepto no convierte a la norma en una recomendación, porque el sistema ya contiene la consecuencia en el artículo 51, fracción II, de la ley procesal, que sanciona con nulidad la resolución dictada con omisión de un requisito formal trascendente.</w:t>
      </w:r>
    </w:p>
    <w:p>
      <w:pPr>
        <w:spacing w:line="360" w:lineRule="auto"/>
        <w:jc w:val="both"/>
      </w:pPr>
      <w:r>
        <w:rPr>
          <w:rFonts w:ascii="Arial" w:hAnsi="Arial"/>
          <w:b w:val="0"/>
          <w:i w:val="0"/>
          <w:sz w:val="28"/>
        </w:rPr>
        <w:t xml:space="preserve">La postura de la </w:t>
      </w:r>
      <w:r>
        <w:rPr>
          <w:rFonts w:ascii="Arial" w:hAnsi="Arial"/>
          <w:b w:val="0"/>
          <w:i/>
          <w:sz w:val="28"/>
        </w:rPr>
        <w:t>«norma imperfecta»</w:t>
      </w:r>
      <w:r>
        <w:rPr>
          <w:rFonts w:ascii="Arial" w:hAnsi="Arial"/>
          <w:b w:val="0"/>
          <w:i w:val="0"/>
          <w:sz w:val="28"/>
        </w:rPr>
        <w:t>, con la que la autoridad suele contestar estos planteamientos, toma prestada la clasificación clásica que distingue los preceptos, según su sanción, en leges perfectae, plus quam perfectae, minus quam perfectae e imperfectae, y coloca al artículo 17-H Bis en el último grupo.</w:t>
      </w:r>
      <w:r>
        <w:rPr>
          <w:rFonts w:ascii="Arial" w:hAnsi="Arial"/>
          <w:vertAlign w:val="superscript"/>
        </w:rPr>
        <w:t>3</w:t>
      </w:r>
    </w:p>
    <w:p>
      <w:pPr>
        <w:spacing w:line="360" w:lineRule="auto"/>
        <w:jc w:val="both"/>
      </w:pPr>
      <w:r>
        <w:rPr>
          <w:rFonts w:ascii="Arial" w:hAnsi="Arial"/>
          <w:b w:val="0"/>
          <w:i w:val="0"/>
          <w:sz w:val="28"/>
        </w:rPr>
        <w:t>El traslado falla porque parte de una noción incompleta de sanción: una norma de conducta dirigida a la autoridad no necesita llevar adherida su propia consecuencia para ser obligatoria, pues ésta puede estar en otra norma del sistema, como ocurre con todas las formalidades del procedimiento administrativo, cuya inobservancia se sanciona a través de las causales de ilegalidad de la ley procesal.</w:t>
      </w:r>
    </w:p>
    <w:p>
      <w:pPr>
        <w:spacing w:line="360" w:lineRule="auto"/>
        <w:jc w:val="both"/>
      </w:pPr>
      <w:r>
        <w:rPr>
          <w:rFonts w:ascii="Arial" w:hAnsi="Arial"/>
          <w:b w:val="0"/>
          <w:i w:val="0"/>
          <w:sz w:val="28"/>
        </w:rPr>
        <w:t>Como lo ha reconocido la Sala en casos análogos, el plazo del artículo 17-H Bis es un requisito formal trascendente cuya finalidad es impedir que la autoridad pueda emitir en cualquier momento, y de forma indefinida, la resolución que define la situación del certificado.</w:t>
      </w:r>
    </w:p>
    <w:p>
      <w:pPr>
        <w:spacing w:line="360" w:lineRule="auto"/>
        <w:jc w:val="both"/>
      </w:pPr>
      <w:r>
        <w:rPr>
          <w:rFonts w:ascii="Arial" w:hAnsi="Arial"/>
          <w:b w:val="0"/>
          <w:i w:val="0"/>
          <w:sz w:val="28"/>
        </w:rPr>
        <w:t>Resta la doctrina de los frutos de actos viciados: cuando un acto de autoridad está viciado, los que derivan de él, se apoyan en él o están condicionados por él resultan ilegales por su origen, y los tribunales no deben darles valor. La doctrina procesal, al estudiar la prueba ilícita, llama a ese fenómeno teoría de los frutos del árbol envenenado: la nulidad de todo aquello que trae causa de un acto nulo, que ha de llevarse hasta sus últimas consecuencias.</w:t>
      </w:r>
      <w:r>
        <w:rPr>
          <w:rFonts w:ascii="Arial" w:hAnsi="Arial"/>
          <w:vertAlign w:val="superscript"/>
        </w:rPr>
        <w:t>4</w:t>
      </w:r>
      <w:r>
        <w:rPr>
          <w:rFonts w:ascii="Arial" w:hAnsi="Arial"/>
          <w:b w:val="0"/>
          <w:i w:val="0"/>
          <w:sz w:val="28"/>
        </w:rPr>
        <w:t xml:space="preserve"> El oficio que confirma que </w:t>
      </w:r>
      <w:r>
        <w:rPr>
          <w:rFonts w:ascii="Arial" w:hAnsi="Arial"/>
          <w:b w:val="0"/>
          <w:i/>
          <w:sz w:val="28"/>
        </w:rPr>
        <w:t>«persiste»</w:t>
      </w:r>
      <w:r>
        <w:rPr>
          <w:rFonts w:ascii="Arial" w:hAnsi="Arial"/>
          <w:b w:val="0"/>
          <w:i w:val="0"/>
          <w:sz w:val="28"/>
        </w:rPr>
        <w:t xml:space="preserve"> la cancelación no tiene vida propia: es consecuencia del oficio de cancelación y hereda su vicio.</w:t>
      </w:r>
    </w:p>
    <w:p>
      <w:pPr>
        <w:spacing w:line="360" w:lineRule="auto"/>
        <w:jc w:val="both"/>
      </w:pPr>
      <w:r>
        <w:rPr>
          <w:rFonts w:ascii="Arial" w:hAnsi="Arial"/>
          <w:b/>
          <w:sz w:val="28"/>
        </w:rPr>
        <w:t>IV. Aplicación al caso concreto y refutación de los argumentos de la autoridad.</w:t>
      </w:r>
    </w:p>
    <w:p>
      <w:pPr>
        <w:spacing w:line="360" w:lineRule="auto"/>
        <w:jc w:val="both"/>
      </w:pPr>
      <w:r>
        <w:rPr>
          <w:rFonts w:ascii="Arial" w:hAnsi="Arial"/>
          <w:b w:val="0"/>
          <w:i w:val="0"/>
          <w:sz w:val="28"/>
        </w:rPr>
        <w:t xml:space="preserve">Los hechos encajan con exactitud en la premisa expuesta. Mediante oficio notificado por buzón tributario el </w:t>
      </w:r>
      <w:r>
        <w:rPr>
          <w:rFonts w:ascii="Arial" w:hAnsi="Arial"/>
          <w:b/>
          <w:i w:val="0"/>
          <w:sz w:val="28"/>
        </w:rPr>
        <w:t>[FECHA DE NOTIFICACIÓN DEL OFICIO DE RESTRICCIÓN TEMPORAL]</w:t>
      </w:r>
      <w:r>
        <w:rPr>
          <w:rFonts w:ascii="Arial" w:hAnsi="Arial"/>
          <w:b w:val="0"/>
          <w:i w:val="0"/>
          <w:sz w:val="28"/>
        </w:rPr>
        <w:t xml:space="preserve">, la </w:t>
      </w:r>
      <w:r>
        <w:rPr>
          <w:rFonts w:ascii="Arial" w:hAnsi="Arial"/>
          <w:b/>
          <w:i w:val="0"/>
          <w:sz w:val="28"/>
        </w:rPr>
        <w:t>[AUTORIDAD DEMANDADA]</w:t>
      </w:r>
      <w:r>
        <w:rPr>
          <w:rFonts w:ascii="Arial" w:hAnsi="Arial"/>
          <w:b w:val="0"/>
          <w:i w:val="0"/>
          <w:sz w:val="28"/>
        </w:rPr>
        <w:t xml:space="preserve"> restringió temporalmente el uso del certificado de sello digital de la parte actora por considerar actualizada la fracción </w:t>
      </w:r>
      <w:r>
        <w:rPr>
          <w:rFonts w:ascii="Arial" w:hAnsi="Arial"/>
          <w:b/>
          <w:i w:val="0"/>
          <w:sz w:val="28"/>
        </w:rPr>
        <w:t>[FRACCIÓN DEL ARTÍCULO 17-H BIS INVOCADA POR LA AUTORIDAD]</w:t>
      </w:r>
      <w:r>
        <w:rPr>
          <w:rFonts w:ascii="Arial" w:hAnsi="Arial"/>
          <w:b w:val="0"/>
          <w:i w:val="0"/>
          <w:sz w:val="28"/>
        </w:rPr>
        <w:t xml:space="preserve"> del artículo 17-H Bis. El </w:t>
      </w:r>
      <w:r>
        <w:rPr>
          <w:rFonts w:ascii="Arial" w:hAnsi="Arial"/>
          <w:b/>
          <w:i w:val="0"/>
          <w:sz w:val="28"/>
        </w:rPr>
        <w:t>[FECHA DE PRESENTACIÓN DE LA PRIMERA SOLICITUD DE ACLARACIÓN]</w:t>
      </w:r>
      <w:r>
        <w:rPr>
          <w:rFonts w:ascii="Arial" w:hAnsi="Arial"/>
          <w:b w:val="0"/>
          <w:i w:val="0"/>
          <w:sz w:val="28"/>
        </w:rPr>
        <w:t>, la parte actora presentó su solicitud de aclaración, con manifestaciones y pruebas dirigidas a desvirtuar las irregularidades imputadas.</w:t>
      </w:r>
    </w:p>
    <w:p>
      <w:pPr>
        <w:spacing w:line="360" w:lineRule="auto"/>
        <w:jc w:val="both"/>
      </w:pPr>
      <w:r>
        <w:rPr>
          <w:rFonts w:ascii="Arial" w:hAnsi="Arial"/>
          <w:b w:val="0"/>
          <w:i w:val="0"/>
          <w:sz w:val="28"/>
        </w:rPr>
        <w:t xml:space="preserve">Conforme al segundo párrafo del artículo 17-H Bis, el plazo máximo de diez días para resolver esa aclaración comenzó el </w:t>
      </w:r>
      <w:r>
        <w:rPr>
          <w:rFonts w:ascii="Arial" w:hAnsi="Arial"/>
          <w:b/>
          <w:i w:val="0"/>
          <w:sz w:val="28"/>
        </w:rPr>
        <w:t>[FECHA EN QUE INICIÓ EL PLAZO DE DIEZ DÍAS]</w:t>
      </w:r>
      <w:r>
        <w:rPr>
          <w:rFonts w:ascii="Arial" w:hAnsi="Arial"/>
          <w:b w:val="0"/>
          <w:i w:val="0"/>
          <w:sz w:val="28"/>
        </w:rPr>
        <w:t xml:space="preserve">, día hábil siguiente a la presentación, y venció el </w:t>
      </w:r>
      <w:r>
        <w:rPr>
          <w:rFonts w:ascii="Arial" w:hAnsi="Arial"/>
          <w:b/>
          <w:i w:val="0"/>
          <w:sz w:val="28"/>
        </w:rPr>
        <w:t>[FECHA EN QUE VENCIÓ EL PLAZO DE DIEZ DÍAS]</w:t>
      </w:r>
      <w:r>
        <w:rPr>
          <w:rFonts w:ascii="Arial" w:hAnsi="Arial"/>
          <w:b w:val="0"/>
          <w:i w:val="0"/>
          <w:sz w:val="28"/>
        </w:rPr>
        <w:t xml:space="preserve">. Sin embargo, el oficio por el que la autoridad dejó sin efectos de manera definitiva el certificado, fechado el </w:t>
      </w:r>
      <w:r>
        <w:rPr>
          <w:rFonts w:ascii="Arial" w:hAnsi="Arial"/>
          <w:b/>
          <w:i w:val="0"/>
          <w:sz w:val="28"/>
        </w:rPr>
        <w:t>[FECHA DE EMISIÓN DEL OFICIO DE CANCELACIÓN DEFINITIVA]</w:t>
      </w:r>
      <w:r>
        <w:rPr>
          <w:rFonts w:ascii="Arial" w:hAnsi="Arial"/>
          <w:b w:val="0"/>
          <w:i w:val="0"/>
          <w:sz w:val="28"/>
        </w:rPr>
        <w:t xml:space="preserve">, fue notificado por buzón tributario hasta el </w:t>
      </w:r>
      <w:r>
        <w:rPr>
          <w:rFonts w:ascii="Arial" w:hAnsi="Arial"/>
          <w:b/>
          <w:i w:val="0"/>
          <w:sz w:val="28"/>
        </w:rPr>
        <w:t>[FECHA DE NOTIFICACIÓN DEL OFICIO DE CANCELACIÓN DEFINITIVA]</w:t>
      </w:r>
      <w:r>
        <w:rPr>
          <w:rFonts w:ascii="Arial" w:hAnsi="Arial"/>
          <w:b w:val="0"/>
          <w:i w:val="0"/>
          <w:sz w:val="28"/>
        </w:rPr>
        <w:t>, cuando el plazo ya se había agotado.</w:t>
      </w:r>
    </w:p>
    <w:p>
      <w:pPr>
        <w:spacing w:line="360" w:lineRule="auto"/>
        <w:jc w:val="both"/>
      </w:pPr>
      <w:r>
        <w:rPr>
          <w:rFonts w:ascii="Arial" w:hAnsi="Arial"/>
          <w:b w:val="0"/>
          <w:i w:val="0"/>
          <w:sz w:val="28"/>
        </w:rPr>
        <w:t>Lo decisivo es la notificación, no la fecha que ostenta el oficio. La ley exige que la resolución se dé a conocer por buzón tributario, y la regla administrativa sólo tiene por oportuna la notificación cuyo procedimiento se inicia a más tardar el último día del plazo. Una resolución fechada dentro del plazo pero comunicada después de él no cumple la exigencia legal, porque para la contribuyente la definición de su situación sólo existe cuando le es dada a conocer. Como lo ha reconocido la Sala en casos análogos, el cómputo se cierra con la fecha de notificación del oficio de cancelación.</w:t>
      </w:r>
    </w:p>
    <w:p>
      <w:pPr>
        <w:spacing w:line="360" w:lineRule="auto"/>
        <w:jc w:val="both"/>
      </w:pPr>
      <w:r>
        <w:rPr>
          <w:rFonts w:ascii="Arial" w:hAnsi="Arial"/>
          <w:b w:val="0"/>
          <w:i w:val="0"/>
          <w:sz w:val="28"/>
        </w:rPr>
        <w:t xml:space="preserve">El </w:t>
      </w:r>
      <w:r>
        <w:rPr>
          <w:rFonts w:ascii="Arial" w:hAnsi="Arial"/>
          <w:b/>
          <w:i w:val="0"/>
          <w:sz w:val="28"/>
        </w:rPr>
        <w:t>[FECHA DE PRESENTACIÓN DE LA SEGUNDA SOLICITUD DE ACLARACIÓN]</w:t>
      </w:r>
      <w:r>
        <w:rPr>
          <w:rFonts w:ascii="Arial" w:hAnsi="Arial"/>
          <w:b w:val="0"/>
          <w:i w:val="0"/>
          <w:sz w:val="28"/>
        </w:rPr>
        <w:t>, la parte actora presentó una segunda solicitud de aclaración, al amparo del artículo 17-H del código, y a ella recayó el oficio impugnado, que se limitó a determinar que persistía la medida impuesta en el oficio de cancelación. La subsunción es directa: el oficio impugnado deriva de un procedimiento en el que se omitió un requisito formal trascendente, y esa omisión afectó las defensas de la actora y trascendió al sentido del acto, hipótesis exacta de la fracción II del artículo 51 de la Ley Federal de Procedimiento Contencioso Administrativo.</w:t>
      </w:r>
    </w:p>
    <w:p>
      <w:pPr>
        <w:spacing w:line="360" w:lineRule="auto"/>
        <w:jc w:val="both"/>
      </w:pPr>
      <w:r>
        <w:rPr>
          <w:rFonts w:ascii="Arial" w:hAnsi="Arial"/>
          <w:b w:val="0"/>
          <w:i w:val="0"/>
          <w:sz w:val="28"/>
        </w:rPr>
        <w:t xml:space="preserve">Frente a ello, la autoridad ofrece dos razonamientos, ambos lógicamente inválidos. El primero, en sede de procedencia, califica el oficio impugnado como acto </w:t>
      </w:r>
      <w:r>
        <w:rPr>
          <w:rFonts w:ascii="Arial" w:hAnsi="Arial"/>
          <w:b w:val="0"/>
          <w:i/>
          <w:sz w:val="28"/>
        </w:rPr>
        <w:t>«temporal y provisional»</w:t>
      </w:r>
      <w:r>
        <w:rPr>
          <w:rFonts w:ascii="Arial" w:hAnsi="Arial"/>
          <w:b w:val="0"/>
          <w:i w:val="0"/>
          <w:sz w:val="28"/>
        </w:rPr>
        <w:t>, reversible si la contribuyente subsana. Ese argumento incurre en petición de principio, que la doctrina describe como sentar como premisa aquello mismo que debe demostrarse.</w:t>
      </w:r>
      <w:r>
        <w:rPr>
          <w:rFonts w:ascii="Arial" w:hAnsi="Arial"/>
          <w:vertAlign w:val="superscript"/>
        </w:rPr>
        <w:t>5</w:t>
      </w:r>
      <w:r>
        <w:rPr>
          <w:rFonts w:ascii="Arial" w:hAnsi="Arial"/>
          <w:b w:val="0"/>
          <w:i w:val="0"/>
          <w:sz w:val="28"/>
        </w:rPr>
        <w:t xml:space="preserve"> La reversibilidad que la autoridad invoca como premisa es justamente lo que su oficio niega: el acto declara que la contribuyente no desvirtuó y que la cancelación persiste. No hay nada provisional en una resolución que cierra la única vía de aclaración disponible.</w:t>
      </w:r>
    </w:p>
    <w:p>
      <w:pPr>
        <w:spacing w:line="360" w:lineRule="auto"/>
        <w:jc w:val="both"/>
      </w:pPr>
      <w:r>
        <w:rPr>
          <w:rFonts w:ascii="Arial" w:hAnsi="Arial"/>
          <w:b w:val="0"/>
          <w:i w:val="0"/>
          <w:sz w:val="28"/>
        </w:rPr>
        <w:t xml:space="preserve">El segundo razonamiento, en sede de fondo, sostiene que el artículo 17-H Bis es una </w:t>
      </w:r>
      <w:r>
        <w:rPr>
          <w:rFonts w:ascii="Arial" w:hAnsi="Arial"/>
          <w:b w:val="0"/>
          <w:i/>
          <w:sz w:val="28"/>
        </w:rPr>
        <w:t>«norma imperfecta»</w:t>
      </w:r>
      <w:r>
        <w:rPr>
          <w:rFonts w:ascii="Arial" w:hAnsi="Arial"/>
          <w:b w:val="0"/>
          <w:i w:val="0"/>
          <w:sz w:val="28"/>
        </w:rPr>
        <w:t xml:space="preserve"> porque no prevé sanción por exceder el plazo y que, en todo caso, lo único que se configuraría es una negativa ficta. Se trata de una falsa disyunción: la doctrina explica que un argumento disyuntivo se vuelve falaz cuando sus términos no son exhaustivos, porque se olvidan otras posibilidades.</w:t>
      </w:r>
      <w:r>
        <w:rPr>
          <w:rFonts w:ascii="Arial" w:hAnsi="Arial"/>
          <w:vertAlign w:val="superscript"/>
        </w:rPr>
        <w:t>6</w:t>
      </w:r>
      <w:r>
        <w:rPr>
          <w:rFonts w:ascii="Arial" w:hAnsi="Arial"/>
          <w:b w:val="0"/>
          <w:i w:val="0"/>
          <w:sz w:val="28"/>
        </w:rPr>
        <w:t xml:space="preserve"> La autoridad plantea el dilema </w:t>
      </w:r>
      <w:r>
        <w:rPr>
          <w:rFonts w:ascii="Arial" w:hAnsi="Arial"/>
          <w:b w:val="0"/>
          <w:i/>
          <w:sz w:val="28"/>
        </w:rPr>
        <w:t>«o la ley prevé caducidad o no hay consecuencia alguna»</w:t>
      </w:r>
      <w:r>
        <w:rPr>
          <w:rFonts w:ascii="Arial" w:hAnsi="Arial"/>
          <w:b w:val="0"/>
          <w:i w:val="0"/>
          <w:sz w:val="28"/>
        </w:rPr>
        <w:t xml:space="preserve"> y omite la tercera vía que el sistema sí contempla: la nulidad por omisión de requisito formal trascendente.</w:t>
      </w:r>
    </w:p>
    <w:p>
      <w:pPr>
        <w:spacing w:line="360" w:lineRule="auto"/>
        <w:jc w:val="both"/>
      </w:pPr>
      <w:r>
        <w:rPr>
          <w:rFonts w:ascii="Arial" w:hAnsi="Arial"/>
          <w:b w:val="0"/>
          <w:i w:val="0"/>
          <w:sz w:val="28"/>
        </w:rPr>
        <w:t>Además, la conclusión de que sólo puede configurarse una negativa ficta es un non sequitur, denominación genérica de los argumentos en que la conclusión no se sigue de las premisas. La negativa ficta es una figura que opera a favor de la persona interesada, para que pueda combatir el silencio de la autoridad; no es una licencia para que la administración resuelva expresamente, fuera de plazo y en sentido adverso, sin consecuencia alguna. De que exista una vía para impugnar el silencio no se sigue que la resolución expresa tardía sea válida.</w:t>
      </w:r>
    </w:p>
    <w:p>
      <w:pPr>
        <w:spacing w:line="360" w:lineRule="auto"/>
        <w:jc w:val="both"/>
      </w:pPr>
      <w:r>
        <w:rPr>
          <w:rFonts w:ascii="Arial" w:hAnsi="Arial"/>
          <w:b w:val="0"/>
          <w:i w:val="0"/>
          <w:sz w:val="28"/>
        </w:rPr>
        <w:t xml:space="preserve">Tampoco vale el argumento de que el exceso fue de pocos días o de que la actora conoció de todos modos la resolución. El requisito formal no se satisface </w:t>
      </w:r>
      <w:r>
        <w:rPr>
          <w:rFonts w:ascii="Arial" w:hAnsi="Arial"/>
          <w:b w:val="0"/>
          <w:i/>
          <w:sz w:val="28"/>
        </w:rPr>
        <w:t>«casi»</w:t>
      </w:r>
      <w:r>
        <w:rPr>
          <w:rFonts w:ascii="Arial" w:hAnsi="Arial"/>
          <w:b w:val="0"/>
          <w:i w:val="0"/>
          <w:sz w:val="28"/>
        </w:rPr>
        <w:t xml:space="preserve">: la ley no fija un plazo aproximado sino uno máximo, y la trascendencia del vicio no se mide por la magnitud del retraso sino por la naturaleza de la decisión tardía, que fue precisamente la cancelación del certificado. Aceptar un retraso </w:t>
      </w:r>
      <w:r>
        <w:rPr>
          <w:rFonts w:ascii="Arial" w:hAnsi="Arial"/>
          <w:b w:val="0"/>
          <w:i/>
          <w:sz w:val="28"/>
        </w:rPr>
        <w:t>«razonable»</w:t>
      </w:r>
      <w:r>
        <w:rPr>
          <w:rFonts w:ascii="Arial" w:hAnsi="Arial"/>
          <w:b w:val="0"/>
          <w:i w:val="0"/>
          <w:sz w:val="28"/>
        </w:rPr>
        <w:t xml:space="preserve"> equivaldría a autorizar a la autoridad para fijarse ella misma su plazo, lo que destruye la función de garantía que la norma cumple.</w:t>
      </w:r>
    </w:p>
    <w:p>
      <w:pPr>
        <w:spacing w:line="360" w:lineRule="auto"/>
        <w:jc w:val="both"/>
      </w:pPr>
      <w:r>
        <w:rPr>
          <w:rFonts w:ascii="Arial" w:hAnsi="Arial"/>
          <w:b w:val="0"/>
          <w:i w:val="0"/>
          <w:sz w:val="28"/>
        </w:rPr>
        <w:t xml:space="preserve">La consecuencia sistémica confirma el error. Si prosperara la postura de la autoridad, la restricción </w:t>
      </w:r>
      <w:r>
        <w:rPr>
          <w:rFonts w:ascii="Arial" w:hAnsi="Arial"/>
          <w:b w:val="0"/>
          <w:i/>
          <w:sz w:val="28"/>
        </w:rPr>
        <w:t>«temporal»</w:t>
      </w:r>
      <w:r>
        <w:rPr>
          <w:rFonts w:ascii="Arial" w:hAnsi="Arial"/>
          <w:b w:val="0"/>
          <w:i w:val="0"/>
          <w:sz w:val="28"/>
        </w:rPr>
        <w:t xml:space="preserve"> del certificado dejaría de tener límite, pues la administración podría resolver cuando quisiera y, además, sanear cualquier retraso con un oficio posterior que </w:t>
      </w:r>
      <w:r>
        <w:rPr>
          <w:rFonts w:ascii="Arial" w:hAnsi="Arial"/>
          <w:b w:val="0"/>
          <w:i/>
          <w:sz w:val="28"/>
        </w:rPr>
        <w:t>«confirme»</w:t>
      </w:r>
      <w:r>
        <w:rPr>
          <w:rFonts w:ascii="Arial" w:hAnsi="Arial"/>
          <w:b w:val="0"/>
          <w:i w:val="0"/>
          <w:sz w:val="28"/>
        </w:rPr>
        <w:t xml:space="preserve"> la medida. El oficio impugnado sería entonces un instrumento para blanquear el vicio de origen. La doctrina de los frutos de actos viciados existe precisamente para impedir ese resultado: los tribunales no deben dar valor a los actos que se apoyan en uno viciado, porque de hacerlo alentarían la práctica irregular y se harían partícipes de ella.</w:t>
      </w:r>
    </w:p>
    <w:p>
      <w:pPr>
        <w:spacing w:line="360" w:lineRule="auto"/>
        <w:jc w:val="both"/>
      </w:pPr>
      <w:r>
        <w:rPr>
          <w:rFonts w:ascii="Arial" w:hAnsi="Arial"/>
          <w:b/>
          <w:sz w:val="28"/>
        </w:rPr>
        <w:t>V. Conclusión y petición parcial.</w:t>
      </w:r>
    </w:p>
    <w:p>
      <w:pPr>
        <w:spacing w:line="360" w:lineRule="auto"/>
        <w:jc w:val="both"/>
      </w:pPr>
      <w:r>
        <w:rPr>
          <w:rFonts w:ascii="Arial" w:hAnsi="Arial"/>
          <w:b w:val="0"/>
          <w:i w:val="0"/>
          <w:sz w:val="28"/>
        </w:rPr>
        <w:t>En suma: el oficio impugnado es una resolución definitiva que contiene la última voluntad de la autoridad y causa agravio en materia fiscal; deriva de un procedimiento en el que la autoridad notificó la cancelación del certificado fuera del plazo máximo del artículo 17-H Bis, segundo párrafo, del Código Fiscal de la Federación; ese plazo es un requisito formal trascendente cuya omisión afecta las defensas y trasciende al sentido del acto; y el vicio del oficio de cancelación se transmite al oficio que confirmó que la medida persistía.</w:t>
      </w:r>
    </w:p>
    <w:p>
      <w:pPr>
        <w:spacing w:line="360" w:lineRule="auto"/>
        <w:jc w:val="both"/>
      </w:pPr>
      <w:r>
        <w:rPr>
          <w:rFonts w:ascii="Arial" w:hAnsi="Arial"/>
          <w:b w:val="0"/>
          <w:i w:val="0"/>
          <w:sz w:val="28"/>
        </w:rPr>
        <w:t xml:space="preserve">La pretensión de restitución definitiva no es un exceso. El requisito omitido es temporal y, por definición, ya no puede cumplirse: ordenar a la autoridad que reponga el procedimiento para que resuelva </w:t>
      </w:r>
      <w:r>
        <w:rPr>
          <w:rFonts w:ascii="Arial" w:hAnsi="Arial"/>
          <w:b w:val="0"/>
          <w:i/>
          <w:sz w:val="28"/>
        </w:rPr>
        <w:t>«dentro del plazo»</w:t>
      </w:r>
      <w:r>
        <w:rPr>
          <w:rFonts w:ascii="Arial" w:hAnsi="Arial"/>
          <w:b w:val="0"/>
          <w:i w:val="0"/>
          <w:sz w:val="28"/>
        </w:rPr>
        <w:t xml:space="preserve"> sería ordenarle lo imposible y equivaldría a convalidar la extemporaneidad. La única forma de restituir a la contribuyente en el goce de su derecho es restablecer el uso del certificado que la propia ley le mantenía restablecido mientras la autoridad no resolviera en tiempo, pues el artículo 17-H Bis ordena permitir su uso hasta en tanto se emita la resolución correspondiente.</w:t>
      </w:r>
    </w:p>
    <w:p>
      <w:pPr>
        <w:spacing w:line="360" w:lineRule="auto"/>
        <w:jc w:val="both"/>
      </w:pPr>
      <w:r>
        <w:rPr>
          <w:rFonts w:ascii="Arial" w:hAnsi="Arial"/>
          <w:b w:val="0"/>
          <w:i w:val="0"/>
          <w:sz w:val="28"/>
        </w:rPr>
        <w:t>Por lo expuesto, se solicita a esa Sala Regional declarar infundadas las causales de improcedencia y sobreseimiento que la autoridad oponga con base en los artículos 8, fracción II, y 9, fracción II, de la Ley Federal de Procedimiento Contencioso Administrativo; declarar fundado el presente concepto de impugnación y decretar la nulidad de la resolución impugnada con fundamento en el artículo 51, fracción II, de la misma ley.</w:t>
      </w:r>
    </w:p>
    <w:p>
      <w:pPr>
        <w:spacing w:line="360" w:lineRule="auto"/>
        <w:jc w:val="both"/>
      </w:pPr>
      <w:r>
        <w:rPr>
          <w:rFonts w:ascii="Arial" w:hAnsi="Arial"/>
          <w:b w:val="0"/>
          <w:i w:val="0"/>
          <w:sz w:val="28"/>
        </w:rPr>
        <w:t>Asimismo, con apoyo en el artículo 52, fracción V, incisos a) y b), de la ley procesal, se pide reconocer el derecho de la parte actora y condenar a la autoridad a restituirla en el goce de sus derechos afectados y a restablecer de forma definitiva el uso de su certificado de sello digital para la expedición de comprobantes fiscales digitales por internet.</w:t>
      </w:r>
    </w:p>
    <w:p>
      <w:pPr>
        <w:spacing w:line="360" w:lineRule="auto"/>
        <w:jc w:val="both"/>
      </w:pPr>
      <w:r>
        <w:rPr>
          <w:rFonts w:ascii="Arial" w:hAnsi="Arial"/>
          <w:b w:val="0"/>
          <w:i w:val="0"/>
          <w:sz w:val="28"/>
        </w:rPr>
        <w:t>Se pide, asimismo, que la sentencia fije el plazo de cumplimiento conforme al propio artículo 52, en relación con el artículo 57 de la ley procesal, que ordene a la autoridad informar a la Sala sobre su cumplimiento y que la aperciba con las medidas de apremio del artículo 58, fracción I, inciso a). Se solicita el estudio preferente de este concepto, pues su acogimiento otorga a la parte actora el mayor beneficio posible y hace innecesario el examen de los restantes, sin perjuicio de la medida cautelar de restablecimiento provisional del certificado que se solicita en el capítulo correspondiente de esta demanda.</w:t>
      </w:r>
    </w:p>
    <w:p/>
    <w:p>
      <w:r>
        <w:rPr>
          <w:rFonts w:ascii="Arial" w:hAnsi="Arial"/>
          <w:b/>
          <w:sz w:val="22"/>
        </w:rPr>
        <w:t>NOTAS</w:t>
      </w:r>
    </w:p>
    <w:p>
      <w:pPr>
        <w:spacing w:after="60"/>
        <w:ind w:left="360" w:hanging="360"/>
        <w:jc w:val="both"/>
      </w:pPr>
      <w:r>
        <w:rPr>
          <w:rFonts w:ascii="Arial" w:hAnsi="Arial"/>
          <w:sz w:val="20"/>
          <w:vertAlign w:val="superscript"/>
        </w:rPr>
        <w:t>1</w:t>
      </w:r>
      <w:r>
        <w:rPr>
          <w:sz w:val="20"/>
        </w:rPr>
        <w:t xml:space="preserve"> </w:t>
      </w:r>
      <w:r>
        <w:rPr>
          <w:rFonts w:ascii="Arial" w:hAnsi="Arial"/>
          <w:i w:val="0"/>
          <w:sz w:val="20"/>
        </w:rPr>
        <w:t xml:space="preserve">CARRANCO ZÚÑIGA, Joel, </w:t>
      </w:r>
      <w:r>
        <w:rPr>
          <w:rFonts w:ascii="Arial" w:hAnsi="Arial"/>
          <w:i/>
          <w:sz w:val="20"/>
        </w:rPr>
        <w:t>Juicio de amparo. Procedencia y sobreseimiento</w:t>
      </w:r>
      <w:r>
        <w:rPr>
          <w:rFonts w:ascii="Arial" w:hAnsi="Arial"/>
          <w:i w:val="0"/>
          <w:sz w:val="20"/>
        </w:rPr>
        <w:t>, 6ª ed., Porrúa, México, 2020, pp. 49-50.</w:t>
      </w:r>
    </w:p>
    <w:p>
      <w:pPr>
        <w:spacing w:after="60"/>
        <w:ind w:left="360" w:hanging="360"/>
        <w:jc w:val="both"/>
      </w:pPr>
      <w:r>
        <w:rPr>
          <w:rFonts w:ascii="Arial" w:hAnsi="Arial"/>
          <w:sz w:val="20"/>
          <w:vertAlign w:val="superscript"/>
        </w:rPr>
        <w:t>2</w:t>
      </w:r>
      <w:r>
        <w:rPr>
          <w:sz w:val="20"/>
        </w:rPr>
        <w:t xml:space="preserve"> </w:t>
      </w: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 p. 1143.</w:t>
      </w:r>
    </w:p>
    <w:p>
      <w:pPr>
        <w:spacing w:after="60"/>
        <w:ind w:left="360" w:hanging="360"/>
        <w:jc w:val="both"/>
      </w:pPr>
      <w:r>
        <w:rPr>
          <w:rFonts w:ascii="Arial" w:hAnsi="Arial"/>
          <w:sz w:val="20"/>
          <w:vertAlign w:val="superscript"/>
        </w:rPr>
        <w:t>3</w:t>
      </w:r>
      <w:r>
        <w:rPr>
          <w:sz w:val="20"/>
        </w:rPr>
        <w:t xml:space="preserve"> </w:t>
      </w:r>
      <w:r>
        <w:rPr>
          <w:rFonts w:ascii="Arial" w:hAnsi="Arial"/>
          <w:i w:val="0"/>
          <w:sz w:val="20"/>
        </w:rPr>
        <w:t xml:space="preserve">DEHESA DÁVILA, Gerardo, </w:t>
      </w:r>
      <w:r>
        <w:rPr>
          <w:rFonts w:ascii="Arial" w:hAnsi="Arial"/>
          <w:i/>
          <w:sz w:val="20"/>
        </w:rPr>
        <w:t>Introducción a la retórica y la argumentación. Elementos de retórica y argumentación para perfeccionar y optimizar el ejercicio de la función jurisdiccional</w:t>
      </w:r>
      <w:r>
        <w:rPr>
          <w:rFonts w:ascii="Arial" w:hAnsi="Arial"/>
          <w:i w:val="0"/>
          <w:sz w:val="20"/>
        </w:rPr>
        <w:t>, 6ª ed., Suprema Corte de Justicia de la Nación, Dirección General de la Coordinación de Compilación y Sistematización de Tesis, México, 2010, p. 689.</w:t>
      </w:r>
    </w:p>
    <w:p>
      <w:pPr>
        <w:spacing w:after="60"/>
        <w:ind w:left="360" w:hanging="360"/>
        <w:jc w:val="both"/>
      </w:pPr>
      <w:r>
        <w:rPr>
          <w:rFonts w:ascii="Arial" w:hAnsi="Arial"/>
          <w:sz w:val="20"/>
          <w:vertAlign w:val="superscript"/>
        </w:rPr>
        <w:t>4</w:t>
      </w:r>
      <w:r>
        <w:rPr>
          <w:sz w:val="20"/>
        </w:rPr>
        <w:t xml:space="preserve"> </w:t>
      </w:r>
      <w:r>
        <w:rPr>
          <w:rFonts w:ascii="Arial" w:hAnsi="Arial"/>
          <w:i w:val="0"/>
          <w:sz w:val="20"/>
        </w:rPr>
        <w:t xml:space="preserve">FERRER BELTRÁN, Jordi et al., </w:t>
      </w:r>
      <w:r>
        <w:rPr>
          <w:rFonts w:ascii="Arial" w:hAnsi="Arial"/>
          <w:i/>
          <w:sz w:val="20"/>
        </w:rPr>
        <w:t>Estudios sobre la prueba</w:t>
      </w:r>
      <w:r>
        <w:rPr>
          <w:rFonts w:ascii="Arial" w:hAnsi="Arial"/>
          <w:i w:val="0"/>
          <w:sz w:val="20"/>
        </w:rPr>
        <w:t>, Universidad Nacional Autónoma de México, México, 2006, p. 59.</w:t>
      </w:r>
    </w:p>
    <w:p>
      <w:pPr>
        <w:spacing w:after="60"/>
        <w:ind w:left="360" w:hanging="360"/>
        <w:jc w:val="both"/>
      </w:pPr>
      <w:r>
        <w:rPr>
          <w:rFonts w:ascii="Arial" w:hAnsi="Arial"/>
          <w:sz w:val="20"/>
          <w:vertAlign w:val="superscript"/>
        </w:rPr>
        <w:t>5</w:t>
      </w:r>
      <w:r>
        <w:rPr>
          <w:sz w:val="20"/>
        </w:rPr>
        <w:t xml:space="preserve"> </w:t>
      </w: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 p. 73.</w:t>
      </w:r>
    </w:p>
    <w:p>
      <w:pPr>
        <w:spacing w:after="60"/>
        <w:ind w:left="360" w:hanging="360"/>
        <w:jc w:val="both"/>
      </w:pPr>
      <w:r>
        <w:rPr>
          <w:rFonts w:ascii="Arial" w:hAnsi="Arial"/>
          <w:sz w:val="20"/>
          <w:vertAlign w:val="superscript"/>
        </w:rPr>
        <w:t>6</w:t>
      </w:r>
      <w:r>
        <w:rPr>
          <w:sz w:val="20"/>
        </w:rPr>
        <w:t xml:space="preserve"> </w:t>
      </w:r>
      <w:r>
        <w:rPr>
          <w:rFonts w:ascii="Arial" w:hAnsi="Arial"/>
          <w:i w:val="0"/>
          <w:sz w:val="20"/>
        </w:rPr>
        <w:t>GARCÍA DAMBORENEA, op. cit.</w:t>
      </w:r>
      <w:r>
        <w:rPr>
          <w:rFonts w:ascii="Arial" w:hAnsi="Arial"/>
          <w:i w:val="0"/>
          <w:sz w:val="20"/>
        </w:rPr>
        <w:t>, p. 35.</w:t>
      </w:r>
    </w:p>
    <w:p/>
    <w:p>
      <w:r>
        <w:rPr>
          <w:rFonts w:ascii="Arial" w:hAnsi="Arial"/>
          <w:b/>
          <w:sz w:val="22"/>
        </w:rPr>
        <w:t>BIBLIOGRAFÍA</w:t>
      </w:r>
    </w:p>
    <w:p>
      <w:pPr>
        <w:spacing w:after="60"/>
        <w:ind w:left="360" w:hanging="360"/>
        <w:jc w:val="both"/>
      </w:pPr>
      <w:r>
        <w:rPr>
          <w:rFonts w:ascii="Arial" w:hAnsi="Arial"/>
          <w:i w:val="0"/>
          <w:sz w:val="20"/>
        </w:rPr>
        <w:t xml:space="preserve">CARRANCO ZÚÑIGA, Joel, </w:t>
      </w:r>
      <w:r>
        <w:rPr>
          <w:rFonts w:ascii="Arial" w:hAnsi="Arial"/>
          <w:i/>
          <w:sz w:val="20"/>
        </w:rPr>
        <w:t>Juicio de amparo. Procedencia y sobreseimiento</w:t>
      </w:r>
      <w:r>
        <w:rPr>
          <w:rFonts w:ascii="Arial" w:hAnsi="Arial"/>
          <w:i w:val="0"/>
          <w:sz w:val="20"/>
        </w:rPr>
        <w:t>, 6ª ed., Porrúa, México, 2020.</w:t>
      </w:r>
    </w:p>
    <w:p>
      <w:pPr>
        <w:spacing w:after="60"/>
        <w:ind w:left="360" w:hanging="360"/>
        <w:jc w:val="both"/>
      </w:pPr>
      <w:r>
        <w:rPr>
          <w:rFonts w:ascii="Arial" w:hAnsi="Arial"/>
          <w:i w:val="0"/>
          <w:sz w:val="20"/>
        </w:rPr>
        <w:t xml:space="preserve">DEHESA DÁVILA, Gerardo, </w:t>
      </w:r>
      <w:r>
        <w:rPr>
          <w:rFonts w:ascii="Arial" w:hAnsi="Arial"/>
          <w:i/>
          <w:sz w:val="20"/>
        </w:rPr>
        <w:t>Introducción a la retórica y la argumentación. Elementos de retórica y argumentación para perfeccionar y optimizar el ejercicio de la función jurisdiccional</w:t>
      </w:r>
      <w:r>
        <w:rPr>
          <w:rFonts w:ascii="Arial" w:hAnsi="Arial"/>
          <w:i w:val="0"/>
          <w:sz w:val="20"/>
        </w:rPr>
        <w:t>, 6ª ed., Suprema Corte de Justicia de la Nación, Dirección General de la Coordinación de Compilación y Sistematización de Tesis, México, 2010.</w:t>
      </w:r>
    </w:p>
    <w:p>
      <w:pPr>
        <w:spacing w:after="60"/>
        <w:ind w:left="360" w:hanging="360"/>
        <w:jc w:val="both"/>
      </w:pPr>
      <w:r>
        <w:rPr>
          <w:rFonts w:ascii="Arial" w:hAnsi="Arial"/>
          <w:i w:val="0"/>
          <w:sz w:val="20"/>
        </w:rPr>
        <w:t xml:space="preserve">FERRER BELTRÁN, Jordi et al., </w:t>
      </w:r>
      <w:r>
        <w:rPr>
          <w:rFonts w:ascii="Arial" w:hAnsi="Arial"/>
          <w:i/>
          <w:sz w:val="20"/>
        </w:rPr>
        <w:t>Estudios sobre la prueba</w:t>
      </w:r>
      <w:r>
        <w:rPr>
          <w:rFonts w:ascii="Arial" w:hAnsi="Arial"/>
          <w:i w:val="0"/>
          <w:sz w:val="20"/>
        </w:rPr>
        <w:t>, Universidad Nacional Autónoma de México, México, 2006.</w:t>
      </w:r>
    </w:p>
    <w:p>
      <w:pPr>
        <w:spacing w:after="60"/>
        <w:ind w:left="360" w:hanging="360"/>
        <w:jc w:val="both"/>
      </w:pP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w:t>
      </w:r>
    </w:p>
    <w:p>
      <w:pPr>
        <w:spacing w:after="60"/>
        <w:ind w:left="360" w:hanging="360"/>
        <w:jc w:val="both"/>
      </w:pP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w:t>
      </w:r>
    </w:p>
    <w:sectPr w:rsidR="00FC693F" w:rsidRPr="0006063C" w:rsidSect="00034616">
      <w:footerReference w:type="default" r:id="rId9"/>
      <w:pgSz w:w="12246" w:h="19276"/>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20"/>
      </w:rPr>
      <w:t xml:space="preserve">Página </w:t>
    </w:r>
    <w:r>
      <w:rPr>
        <w:rFonts w:ascii="Arial" w:hAnsi="Arial"/>
        <w:sz w:val="20"/>
      </w:rPr>
      <w:fldChar w:fldCharType="begin"/>
      <w:instrText xml:space="preserve">PAGE</w:instrText>
      <w:fldChar w:fldCharType="end"/>
    </w:r>
    <w:r>
      <w:rPr>
        <w:rFonts w:ascii="Arial" w:hAnsi="Arial"/>
        <w:sz w:val="20"/>
      </w:rPr>
      <w:t xml:space="preserve"> de </w:t>
    </w:r>
    <w:r>
      <w:rPr>
        <w:rFonts w:ascii="Arial" w:hAnsi="Arial"/>
        <w:sz w:val="20"/>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