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OMISIÓN DEL CARGO DEL FUNCIONARIO EN LA CANCELACIÓN DE LA CERTIFICACIÓN IVA E IEPS</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Antes de usar el machote, revisa el oficio completo, incluidos el proemio, el bloque de firma, la cadena original y el sello digital, y confirma que en ninguno de esos lugares aparece el cargo de quien firma; si el puesto consta en cualquier parte del documento, este concepto pierde su base y conviene descartarlo.</w:t>
      </w:r>
    </w:p>
    <w:p>
      <w:pPr>
        <w:spacing w:line="360" w:lineRule="auto"/>
        <w:jc w:val="both"/>
      </w:pPr>
      <w:r>
        <w:rPr>
          <w:rFonts w:ascii="Arial" w:hAnsi="Arial"/>
          <w:b w:val="0"/>
          <w:i w:val="0"/>
          <w:sz w:val="24"/>
        </w:rPr>
        <w:t>Determina después la vía y el plazo, recordando que en la vía ordinaria la demanda se presenta dentro de los treinta días que marca el artículo 13, fracción I, de la Ley Federal de Procedimiento Contencioso Administrativo, y que en la sumaria el plazo también es de treinta días conforme al párrafo tercero del artículo 58-2 del mismo ordenamiento.</w:t>
      </w:r>
    </w:p>
    <w:p>
      <w:pPr>
        <w:spacing w:line="360" w:lineRule="auto"/>
        <w:jc w:val="both"/>
      </w:pPr>
      <w:r>
        <w:rPr>
          <w:rFonts w:ascii="Arial" w:hAnsi="Arial"/>
          <w:b w:val="0"/>
          <w:i w:val="0"/>
          <w:sz w:val="24"/>
        </w:rPr>
        <w:t>Coteja contra el texto vigente del Código Fiscal de la Federación las fracciones II y V de su artículo 38, que el machote transcribe tal como las reprodujo la sentencia de agosto de 2026; llena los campos editables y acompaña este concepto con tus conceptos de fondo, cuyo estudio preferente se pide en la petición final.</w:t>
      </w:r>
    </w:p>
    <w:p>
      <w:pPr>
        <w:spacing w:line="360" w:lineRule="auto"/>
        <w:jc w:val="both"/>
      </w:pPr>
      <w:r>
        <w:rPr>
          <w:rFonts w:ascii="Arial" w:hAnsi="Arial"/>
          <w:b w:val="0"/>
          <w:i w:val="0"/>
          <w:sz w:val="24"/>
        </w:rPr>
        <w:t>Cita la sentencia de la Sala Regional sólo como ilustrativa, conservando la mención de que se resolvió por mayoría y con voto particular, y elimina cualquier párrafo que no corresponda a tu caso.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según el orden de beneficio que hayas elegido.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canceló el registro, tal como aparece en el documento.</w:t>
      </w:r>
    </w:p>
    <w:p>
      <w:pPr>
        <w:spacing w:line="360" w:lineRule="auto"/>
        <w:jc w:val="both"/>
      </w:pPr>
      <w:r>
        <w:rPr>
          <w:rFonts w:ascii="Arial" w:hAnsi="Arial"/>
          <w:b/>
          <w:i w:val="0"/>
          <w:sz w:val="24"/>
        </w:rPr>
        <w:t>[FECHA DE LA RESOLUCIÓN IMPUGNADA]</w:t>
      </w:r>
      <w:r>
        <w:rPr>
          <w:rFonts w:ascii="Arial" w:hAnsi="Arial"/>
          <w:b w:val="0"/>
          <w:i w:val="0"/>
          <w:sz w:val="24"/>
        </w:rPr>
        <w:t>: la fecha de emisión del oficio.</w:t>
      </w:r>
    </w:p>
    <w:p>
      <w:pPr>
        <w:spacing w:line="360" w:lineRule="auto"/>
        <w:jc w:val="both"/>
      </w:pPr>
      <w:r>
        <w:rPr>
          <w:rFonts w:ascii="Arial" w:hAnsi="Arial"/>
          <w:b/>
          <w:i w:val="0"/>
          <w:sz w:val="24"/>
        </w:rPr>
        <w:t>[AUTORIDAD DEMANDADA]</w:t>
      </w:r>
      <w:r>
        <w:rPr>
          <w:rFonts w:ascii="Arial" w:hAnsi="Arial"/>
          <w:b w:val="0"/>
          <w:i w:val="0"/>
          <w:sz w:val="24"/>
        </w:rPr>
        <w:t>: la unidad administrativa emisora con su denominación completa, copiada del propio oficio y no de memoria.</w:t>
      </w:r>
    </w:p>
    <w:p>
      <w:pPr>
        <w:spacing w:line="360" w:lineRule="auto"/>
        <w:jc w:val="both"/>
      </w:pPr>
      <w:r>
        <w:rPr>
          <w:rFonts w:ascii="Arial" w:hAnsi="Arial"/>
          <w:b/>
          <w:i w:val="0"/>
          <w:sz w:val="24"/>
        </w:rPr>
        <w:t>[NOMBRE O DENOMINACIÓN DE LA PARTE ACTORA]</w:t>
      </w:r>
      <w:r>
        <w:rPr>
          <w:rFonts w:ascii="Arial" w:hAnsi="Arial"/>
          <w:b w:val="0"/>
          <w:i w:val="0"/>
          <w:sz w:val="24"/>
        </w:rPr>
        <w:t>: la razón social de la empresa a la que se canceló el registro.</w:t>
      </w:r>
    </w:p>
    <w:p>
      <w:pPr>
        <w:spacing w:line="360" w:lineRule="auto"/>
        <w:jc w:val="both"/>
      </w:pPr>
      <w:r>
        <w:rPr>
          <w:rFonts w:ascii="Arial" w:hAnsi="Arial"/>
          <w:b/>
          <w:i w:val="0"/>
          <w:sz w:val="24"/>
        </w:rPr>
        <w:t>[FECHA DE NOTIFICACIÓN DE LA RESOLUCIÓN IMPUGNADA]</w:t>
      </w:r>
      <w:r>
        <w:rPr>
          <w:rFonts w:ascii="Arial" w:hAnsi="Arial"/>
          <w:b w:val="0"/>
          <w:i w:val="0"/>
          <w:sz w:val="24"/>
        </w:rPr>
        <w:t>: el día en que se notificó el oficio, también si fue por buzón tributario; de esa notificación y de la fecha en que surtió efectos depende la oportunidad de la demanda.</w:t>
      </w:r>
    </w:p>
    <w:p>
      <w:pPr>
        <w:spacing w:line="360" w:lineRule="auto"/>
        <w:jc w:val="both"/>
      </w:pPr>
      <w:r>
        <w:rPr>
          <w:rFonts w:ascii="Arial" w:hAnsi="Arial"/>
          <w:b/>
          <w:i w:val="0"/>
          <w:sz w:val="24"/>
        </w:rPr>
        <w:t>[FECHA DESDE LA QUE EL REGISTRO ESTABA SUSPENDIDO]</w:t>
      </w:r>
      <w:r>
        <w:rPr>
          <w:rFonts w:ascii="Arial" w:hAnsi="Arial"/>
          <w:b w:val="0"/>
          <w:i w:val="0"/>
          <w:sz w:val="24"/>
        </w:rPr>
        <w:t>: la fecha en que la autoridad suspendió el registro antes de cancelarlo; si no hubo suspensión previa, ajusta o suprime esa frase.</w:t>
      </w:r>
    </w:p>
    <w:p>
      <w:pPr>
        <w:spacing w:line="360" w:lineRule="auto"/>
        <w:jc w:val="both"/>
      </w:pPr>
      <w:r>
        <w:rPr>
          <w:rFonts w:ascii="Arial" w:hAnsi="Arial"/>
          <w:b/>
          <w:i w:val="0"/>
          <w:sz w:val="24"/>
        </w:rPr>
        <w:t>[PLAZO OTORGADO PARA REGULARIZAR LAS MERCANCÍAS]</w:t>
      </w:r>
      <w:r>
        <w:rPr>
          <w:rFonts w:ascii="Arial" w:hAnsi="Arial"/>
          <w:b w:val="0"/>
          <w:i w:val="0"/>
          <w:sz w:val="24"/>
        </w:rPr>
        <w:t>: el plazo que el propio oficio concede para regularizar las mercancías importadas temporalmente, copiado literalmente del documento.</w:t>
      </w:r>
    </w:p>
    <w:p>
      <w:pPr>
        <w:spacing w:line="360" w:lineRule="auto"/>
        <w:jc w:val="both"/>
      </w:pPr>
      <w:r>
        <w:rPr>
          <w:rFonts w:ascii="Arial" w:hAnsi="Arial"/>
          <w:b/>
          <w:i w:val="0"/>
          <w:sz w:val="24"/>
        </w:rPr>
        <w:t>[DENOMINACIÓN DE LA UNIDAD ADMINISTRATIVA QUE APARECE EN EL PROEMIO]</w:t>
      </w:r>
      <w:r>
        <w:rPr>
          <w:rFonts w:ascii="Arial" w:hAnsi="Arial"/>
          <w:b w:val="0"/>
          <w:i w:val="0"/>
          <w:sz w:val="24"/>
        </w:rPr>
        <w:t>: la transcripción literal del encabezado del oficio, donde se identifica a la unidad que emite.</w:t>
      </w:r>
    </w:p>
    <w:p>
      <w:pPr>
        <w:spacing w:line="360" w:lineRule="auto"/>
        <w:jc w:val="both"/>
      </w:pPr>
      <w:r>
        <w:rPr>
          <w:rFonts w:ascii="Arial" w:hAnsi="Arial"/>
          <w:b/>
          <w:i w:val="0"/>
          <w:sz w:val="24"/>
        </w:rPr>
        <w:t>[FOLIOS O PÁGINAS DEL OFICIO DONDE CONSTA LA FIRMA]</w:t>
      </w:r>
      <w:r>
        <w:rPr>
          <w:rFonts w:ascii="Arial" w:hAnsi="Arial"/>
          <w:b w:val="0"/>
          <w:i w:val="0"/>
          <w:sz w:val="24"/>
        </w:rPr>
        <w:t>: la página o el folio donde aparece la firma electrónica avanzada del funcionario.</w:t>
      </w:r>
    </w:p>
    <w:p>
      <w:pPr>
        <w:spacing w:line="360" w:lineRule="auto"/>
        <w:jc w:val="both"/>
      </w:pPr>
      <w:r>
        <w:rPr>
          <w:rFonts w:ascii="Arial" w:hAnsi="Arial"/>
          <w:b/>
          <w:i w:val="0"/>
          <w:sz w:val="24"/>
        </w:rPr>
        <w:t>[PRECEPTOS DE COMPETENCIA INVOCADOS EN EL OFICIO]</w:t>
      </w:r>
      <w:r>
        <w:rPr>
          <w:rFonts w:ascii="Arial" w:hAnsi="Arial"/>
          <w:b w:val="0"/>
          <w:i w:val="0"/>
          <w:sz w:val="24"/>
        </w:rPr>
        <w:t>: los artículos, fracciones y ordenamientos con los que el oficio funda la competencia de la unidad emisora.</w:t>
      </w:r>
    </w:p>
    <w:p>
      <w:pPr>
        <w:spacing w:line="360" w:lineRule="auto"/>
        <w:jc w:val="both"/>
      </w:pPr>
      <w:r>
        <w:rPr>
          <w:rFonts w:ascii="Arial" w:hAnsi="Arial"/>
          <w:b/>
          <w:i w:val="0"/>
          <w:sz w:val="24"/>
        </w:rPr>
        <w:t>[CONCEPTOS DE IMPUGNACIÓN DE FONDO]</w:t>
      </w:r>
      <w:r>
        <w:rPr>
          <w:rFonts w:ascii="Arial" w:hAnsi="Arial"/>
          <w:b w:val="0"/>
          <w:i w:val="0"/>
          <w:sz w:val="24"/>
        </w:rPr>
        <w:t>: los ordinales y el tema de tus conceptos de fondo, por ejemplo la inexistencia de los motivos de la cancelación o la falta de oportunidad para desvirtuar la suspensión.</w:t>
      </w:r>
    </w:p>
    <w:p/>
    <w:p>
      <w:pPr>
        <w:spacing w:line="360" w:lineRule="auto"/>
        <w:jc w:val="both"/>
      </w:pPr>
      <w:r>
        <w:rPr>
          <w:rFonts w:ascii="Arial" w:hAnsi="Arial"/>
          <w:b/>
          <w:sz w:val="28"/>
        </w:rPr>
        <w:t>[NÚMERO ORDINAL DEL CONCEPTO] CONCEPTO DE IMPUGNACIÓN. Omisión del cargo del funcionario emisor. La resolución que canceló el registro en el esquema de certificación de empresas, modalidad IVA e IEPS, sólo identifica a la unidad administrativa en su proemio y ostenta una firma electrónica sin precisar el puesto de quien la estampó, en contravención del artículo 38, fracciones II y V, del Código Fiscal de la Federación, lo que actualiza la causal de ilegalidad prevista en el numeral 51, fracción 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mediante el cual </w:t>
      </w:r>
      <w:r>
        <w:rPr>
          <w:rFonts w:ascii="Arial" w:hAnsi="Arial"/>
          <w:b/>
          <w:i w:val="0"/>
          <w:sz w:val="28"/>
        </w:rPr>
        <w:t>[AUTORIDAD DEMANDADA]</w:t>
      </w:r>
      <w:r>
        <w:rPr>
          <w:rFonts w:ascii="Arial" w:hAnsi="Arial"/>
          <w:b w:val="0"/>
          <w:i w:val="0"/>
          <w:sz w:val="28"/>
        </w:rPr>
        <w:t xml:space="preserve"> canceló a </w:t>
      </w:r>
      <w:r>
        <w:rPr>
          <w:rFonts w:ascii="Arial" w:hAnsi="Arial"/>
          <w:b/>
          <w:i w:val="0"/>
          <w:sz w:val="28"/>
        </w:rPr>
        <w:t>[NOMBRE O DENOMINACIÓN DE LA PARTE ACTORA]</w:t>
      </w:r>
      <w:r>
        <w:rPr>
          <w:rFonts w:ascii="Arial" w:hAnsi="Arial"/>
          <w:b w:val="0"/>
          <w:i w:val="0"/>
          <w:sz w:val="28"/>
        </w:rPr>
        <w:t xml:space="preserve"> el registro en el esquema de certificación de empresas, modalidad IVA e IEPS, carece de un requisito formal que la legislación tributaria exige a todo acto que deba notificarse, porque en ninguna de sus partes expresa el cargo de la persona servidora pública que lo suscribe con su firma electrónica.</w:t>
      </w:r>
    </w:p>
    <w:p>
      <w:pPr>
        <w:spacing w:line="360" w:lineRule="auto"/>
        <w:jc w:val="both"/>
      </w:pPr>
      <w:r>
        <w:rPr>
          <w:rFonts w:ascii="Arial" w:hAnsi="Arial"/>
          <w:b w:val="0"/>
          <w:i w:val="0"/>
          <w:sz w:val="28"/>
        </w:rPr>
        <w:t>Esa omisión impide constatar que quien firmó sea el funcionario competente al que aluden las fracciones II y V del artículo 38 del Código Fiscal de la Federación, de modo que la parte actora queda sin elementos para verificar, y en su caso combatir, la aptitud legal de quien decidió la cancelación, con lo cual el vicio afecta sus defensas y trasciende al sentido de la determinación, en los términos que exige el numeral 51, fracción II, de la Ley Federal de Procedimiento Contencioso Administrativo.</w:t>
      </w:r>
    </w:p>
    <w:p>
      <w:pPr>
        <w:spacing w:line="360" w:lineRule="auto"/>
        <w:jc w:val="both"/>
      </w:pPr>
      <w:r>
        <w:rPr>
          <w:rFonts w:ascii="Arial" w:hAnsi="Arial"/>
          <w:b w:val="0"/>
          <w:i w:val="0"/>
          <w:sz w:val="28"/>
        </w:rPr>
        <w:t>Por ello procede anular el oficio impugnado, sin perjuicio de que, conforme al segundo párrafo del artículo 50 de la ley procesal citada, la Sala examine primero los conceptos de impugnación de fondo que puedan conducir a una nulidad lisa y llana, pues una declaratoria apoyada sólo en este vicio formal dejaría a la autoridad en aptitud de emitir una nueva resolución.</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el oficio </w:t>
      </w:r>
      <w:r>
        <w:rPr>
          <w:rFonts w:ascii="Arial" w:hAnsi="Arial"/>
          <w:b/>
          <w:i w:val="0"/>
          <w:sz w:val="28"/>
        </w:rPr>
        <w:t>[NÚMERO DE OFICIO DE LA RESOLUCIÓN IMPUGNADA]</w:t>
      </w:r>
      <w:r>
        <w:rPr>
          <w:rFonts w:ascii="Arial" w:hAnsi="Arial"/>
          <w:b w:val="0"/>
          <w:i w:val="0"/>
          <w:sz w:val="28"/>
        </w:rPr>
        <w:t xml:space="preserve">, de fecha </w:t>
      </w:r>
      <w:r>
        <w:rPr>
          <w:rFonts w:ascii="Arial" w:hAnsi="Arial"/>
          <w:b/>
          <w:i w:val="0"/>
          <w:sz w:val="28"/>
        </w:rPr>
        <w:t>[FECHA DE LA RESOLUCIÓN IMPUGNADA]</w:t>
      </w:r>
      <w:r>
        <w:rPr>
          <w:rFonts w:ascii="Arial" w:hAnsi="Arial"/>
          <w:b w:val="0"/>
          <w:i w:val="0"/>
          <w:sz w:val="28"/>
        </w:rPr>
        <w:t xml:space="preserve">, notificado a la parte actora el </w:t>
      </w:r>
      <w:r>
        <w:rPr>
          <w:rFonts w:ascii="Arial" w:hAnsi="Arial"/>
          <w:b/>
          <w:i w:val="0"/>
          <w:sz w:val="28"/>
        </w:rPr>
        <w:t>[FECHA DE NOTIFICACIÓN DE LA RESOLUCIÓN IMPUGNADA]</w:t>
      </w:r>
      <w:r>
        <w:rPr>
          <w:rFonts w:ascii="Arial" w:hAnsi="Arial"/>
          <w:b w:val="0"/>
          <w:i w:val="0"/>
          <w:sz w:val="28"/>
        </w:rPr>
        <w:t xml:space="preserve">, por el que </w:t>
      </w:r>
      <w:r>
        <w:rPr>
          <w:rFonts w:ascii="Arial" w:hAnsi="Arial"/>
          <w:b/>
          <w:i w:val="0"/>
          <w:sz w:val="28"/>
        </w:rPr>
        <w:t>[AUTORIDAD DEMANDADA]</w:t>
      </w:r>
      <w:r>
        <w:rPr>
          <w:rFonts w:ascii="Arial" w:hAnsi="Arial"/>
          <w:b w:val="0"/>
          <w:i w:val="0"/>
          <w:sz w:val="28"/>
        </w:rPr>
        <w:t xml:space="preserve"> determinó cancelar el registro en el esquema de certificación de empresas, modalidad IVA e IEPS, que se encontraba en suspensión desde el </w:t>
      </w:r>
      <w:r>
        <w:rPr>
          <w:rFonts w:ascii="Arial" w:hAnsi="Arial"/>
          <w:b/>
          <w:i w:val="0"/>
          <w:sz w:val="28"/>
        </w:rPr>
        <w:t>[FECHA DESDE LA QUE EL REGISTRO ESTABA SUSPENDIDO]</w:t>
      </w:r>
      <w:r>
        <w:rPr>
          <w:rFonts w:ascii="Arial" w:hAnsi="Arial"/>
          <w:b w:val="0"/>
          <w:i w:val="0"/>
          <w:sz w:val="28"/>
        </w:rPr>
        <w:t>.</w:t>
      </w:r>
    </w:p>
    <w:p>
      <w:pPr>
        <w:spacing w:line="360" w:lineRule="auto"/>
        <w:jc w:val="both"/>
      </w:pPr>
      <w:r>
        <w:rPr>
          <w:rFonts w:ascii="Arial" w:hAnsi="Arial"/>
          <w:b w:val="0"/>
          <w:i w:val="0"/>
          <w:sz w:val="28"/>
        </w:rPr>
        <w:t xml:space="preserve">Las normas cuya inobservancia se plantea son el artículo 38, fracciones II y V, del Código Fiscal de la Federación, que impone a los actos administrativos que deban notificarse los requisitos de </w:t>
      </w:r>
      <w:r>
        <w:rPr>
          <w:rFonts w:ascii="Arial" w:hAnsi="Arial"/>
          <w:b w:val="0"/>
          <w:i/>
          <w:sz w:val="28"/>
        </w:rPr>
        <w:t>“Señalar la autoridad que lo emite”</w:t>
      </w:r>
      <w:r>
        <w:rPr>
          <w:rFonts w:ascii="Arial" w:hAnsi="Arial"/>
          <w:b w:val="0"/>
          <w:i w:val="0"/>
          <w:sz w:val="28"/>
        </w:rPr>
        <w:t xml:space="preserve"> y de </w:t>
      </w:r>
      <w:r>
        <w:rPr>
          <w:rFonts w:ascii="Arial" w:hAnsi="Arial"/>
          <w:b w:val="0"/>
          <w:i/>
          <w:sz w:val="28"/>
        </w:rPr>
        <w:t>“Ostentar la firma del funcionario competente”</w:t>
      </w:r>
      <w:r>
        <w:rPr>
          <w:rFonts w:ascii="Arial" w:hAnsi="Arial"/>
          <w:b w:val="0"/>
          <w:i w:val="0"/>
          <w:sz w:val="28"/>
        </w:rPr>
        <w:t xml:space="preserve">, así como el primer párrafo del precepto 16 de la Constitución Política de los Estados Unidos Mexicanos, conforme al cual toda molestia exige un </w:t>
      </w:r>
      <w:r>
        <w:rPr>
          <w:rFonts w:ascii="Arial" w:hAnsi="Arial"/>
          <w:b w:val="0"/>
          <w:i/>
          <w:sz w:val="28"/>
        </w:rPr>
        <w:t>“mandamiento escrito de la autoridad competente, que funde y motive la causa legal del procedimiento”</w:t>
      </w:r>
      <w:r>
        <w:rPr>
          <w:rFonts w:ascii="Arial" w:hAnsi="Arial"/>
          <w:b w:val="0"/>
          <w:i w:val="0"/>
          <w:sz w:val="28"/>
        </w:rPr>
        <w:t>.</w:t>
      </w:r>
    </w:p>
    <w:p>
      <w:pPr>
        <w:spacing w:line="360" w:lineRule="auto"/>
        <w:jc w:val="both"/>
      </w:pPr>
      <w:r>
        <w:rPr>
          <w:rFonts w:ascii="Arial" w:hAnsi="Arial"/>
          <w:b w:val="0"/>
          <w:i w:val="0"/>
          <w:sz w:val="28"/>
        </w:rPr>
        <w:t xml:space="preserve">El perjuicio es actual y directo, porque la cancelación priva a la parte actora del beneficio fiscal que el registro le confería en relación con sus importaciones temporales y, según el propio oficio, le impone dentro de </w:t>
      </w:r>
      <w:r>
        <w:rPr>
          <w:rFonts w:ascii="Arial" w:hAnsi="Arial"/>
          <w:b/>
          <w:i w:val="0"/>
          <w:sz w:val="28"/>
        </w:rPr>
        <w:t>[PLAZO OTORGADO PARA REGULARIZAR LAS MERCANCÍAS]</w:t>
      </w:r>
      <w:r>
        <w:rPr>
          <w:rFonts w:ascii="Arial" w:hAnsi="Arial"/>
          <w:b w:val="0"/>
          <w:i w:val="0"/>
          <w:sz w:val="28"/>
        </w:rPr>
        <w:t xml:space="preserve"> las cargas que ahí se precisan respecto de la regularización o el destino aduanero de esas mercancías y de la transmisión de los informes de descargo, además de atribuirle el pago del impuesto al valor agregado y, en su caso, del especial sobre producción y servicios, con actualización y recargos.</w:t>
      </w:r>
    </w:p>
    <w:p>
      <w:pPr>
        <w:spacing w:line="360" w:lineRule="auto"/>
        <w:jc w:val="both"/>
      </w:pPr>
      <w:r>
        <w:rPr>
          <w:rFonts w:ascii="Arial" w:hAnsi="Arial"/>
          <w:b w:val="0"/>
          <w:i w:val="0"/>
          <w:sz w:val="28"/>
        </w:rPr>
        <w:t>Esas consecuencias desvirtúan de antemano la causal de improcedencia del artículo 8o., fracción I, de la Ley Federal de Procedimiento Contencioso Administrativo, que la autoridad podría oponer con el argumento de que la importación temporal no depende del registro y de que éste constituye un simple beneficio revocable, pues aun cuando la operación aduanera pueda continuar sin la certificación, su pérdida modifica la situación jurídica de la empresa y genera obligaciones a su cargo, lo que configura un agravio en materia fiscal de aquellos que conoce el Tribunal conforme a la fracción V del numeral 3 de su Ley Orgánica.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Conforme al primer párrafo del artículo 16 constitucional, todo acto de molestia debe constar en un escrito emanado de autoridad competente, mandato que la doctrina desglosa en requisitos sucesivos, el primero de los cuales exige que la afectación provenga de un órgano facultado por la ley para producirla.</w:t>
      </w:r>
      <w:r>
        <w:rPr>
          <w:rFonts w:ascii="Arial" w:hAnsi="Arial"/>
          <w:vertAlign w:val="superscript"/>
        </w:rPr>
        <w:t>1</w:t>
      </w:r>
    </w:p>
    <w:p>
      <w:pPr>
        <w:spacing w:line="360" w:lineRule="auto"/>
        <w:jc w:val="both"/>
      </w:pPr>
      <w:r>
        <w:rPr>
          <w:rFonts w:ascii="Arial" w:hAnsi="Arial"/>
          <w:b w:val="0"/>
          <w:i w:val="0"/>
          <w:sz w:val="28"/>
        </w:rPr>
        <w:t>En la misma línea, se ha explicado que la naturaleza del acto de autoridad deriva de que lo expida un órgano previsto en el ordenamiento y dotado de atribuciones legales para emitirlo, de suerte que la previsión normativa de esa competencia es lo que confiere a sus determinaciones tal carácter.</w:t>
      </w:r>
      <w:r>
        <w:rPr>
          <w:rFonts w:ascii="Arial" w:hAnsi="Arial"/>
          <w:vertAlign w:val="superscript"/>
        </w:rPr>
        <w:t>2</w:t>
      </w:r>
    </w:p>
    <w:p>
      <w:pPr>
        <w:spacing w:line="360" w:lineRule="auto"/>
        <w:jc w:val="both"/>
      </w:pPr>
      <w:r>
        <w:rPr>
          <w:rFonts w:ascii="Arial" w:hAnsi="Arial"/>
          <w:b w:val="0"/>
          <w:i w:val="0"/>
          <w:sz w:val="28"/>
        </w:rPr>
        <w:t>Esa competencia se predica, en último término, de una persona, y por ello el cargo opera como el enlace entre quien firma y la norma que le atribuye la potestad, pues en el léxico jurídico la autoridad competente se define como el servidor público que, conforme a la ley, está facultado para emitir el acto de que se trate.</w:t>
      </w:r>
      <w:r>
        <w:rPr>
          <w:rFonts w:ascii="Arial" w:hAnsi="Arial"/>
          <w:vertAlign w:val="superscript"/>
        </w:rPr>
        <w:t>3</w:t>
      </w:r>
    </w:p>
    <w:p>
      <w:pPr>
        <w:spacing w:line="360" w:lineRule="auto"/>
        <w:jc w:val="both"/>
      </w:pPr>
      <w:r>
        <w:rPr>
          <w:rFonts w:ascii="Arial" w:hAnsi="Arial"/>
          <w:b w:val="0"/>
          <w:i w:val="0"/>
          <w:sz w:val="28"/>
        </w:rPr>
        <w:t xml:space="preserve">Sobre esa base, la fracción II del artículo 38 del Código Fiscal de la Federación obliga a precisar quién emite el acto, mientras que la V exige </w:t>
      </w:r>
      <w:r>
        <w:rPr>
          <w:rFonts w:ascii="Arial" w:hAnsi="Arial"/>
          <w:b w:val="0"/>
          <w:i/>
          <w:sz w:val="28"/>
        </w:rPr>
        <w:t>“Ostentar la firma del funcionario competente”</w:t>
      </w:r>
      <w:r>
        <w:rPr>
          <w:rFonts w:ascii="Arial" w:hAnsi="Arial"/>
          <w:b w:val="0"/>
          <w:i w:val="0"/>
          <w:sz w:val="28"/>
        </w:rPr>
        <w:t xml:space="preserve"> y añade que, si la resolución consta en documento digital, deberá contener </w:t>
      </w:r>
      <w:r>
        <w:rPr>
          <w:rFonts w:ascii="Arial" w:hAnsi="Arial"/>
          <w:b w:val="0"/>
          <w:i/>
          <w:sz w:val="28"/>
        </w:rPr>
        <w:t>“la firma electrónica avanzada del funcionario competente, la que tendrá el mismo valor que la firma autógrafa”</w:t>
      </w:r>
      <w:r>
        <w:rPr>
          <w:rFonts w:ascii="Arial" w:hAnsi="Arial"/>
          <w:b w:val="0"/>
          <w:i w:val="0"/>
          <w:sz w:val="28"/>
        </w:rPr>
        <w:t>.</w:t>
      </w:r>
    </w:p>
    <w:p>
      <w:pPr>
        <w:spacing w:line="360" w:lineRule="auto"/>
        <w:jc w:val="both"/>
      </w:pPr>
      <w:r>
        <w:rPr>
          <w:rFonts w:ascii="Arial" w:hAnsi="Arial"/>
          <w:b w:val="0"/>
          <w:i w:val="0"/>
          <w:sz w:val="28"/>
        </w:rPr>
        <w:t>Ambas exigencias operan de manera acumulativa y complementaria, porque la primera identifica a la autoridad emisora y la segunda reserva la suscripción al funcionario dotado de competencia, de modo que sólo la expresión del cargo permite enlazar el signo electrónico estampado con la norma atributiva invocada y verificar que el signatario es la persona a quien el ordenamiento confía esa decisión.</w:t>
      </w:r>
    </w:p>
    <w:p>
      <w:pPr>
        <w:spacing w:line="360" w:lineRule="auto"/>
        <w:jc w:val="both"/>
      </w:pPr>
      <w:r>
        <w:rPr>
          <w:rFonts w:ascii="Arial" w:hAnsi="Arial"/>
          <w:b w:val="0"/>
          <w:i w:val="0"/>
          <w:sz w:val="28"/>
        </w:rPr>
        <w:t>Tener por colmado el requisito de la fracción II con la sola mención de la unidad administrativa en el proemio vaciaría de contenido al de la V, pues bastaría cualquier firma al calce para dar por cumplidas ambas exigencias, lectura que no puede aceptarse porque supone que el legislador exigió dos elementos distintos para luego confundirlos en uno solo.</w:t>
      </w:r>
    </w:p>
    <w:p>
      <w:pPr>
        <w:spacing w:line="360" w:lineRule="auto"/>
        <w:jc w:val="both"/>
      </w:pPr>
      <w:r>
        <w:rPr>
          <w:rFonts w:ascii="Arial" w:hAnsi="Arial"/>
          <w:b w:val="0"/>
          <w:i w:val="0"/>
          <w:sz w:val="28"/>
        </w:rPr>
        <w:t>Una unidad administrativa es una estructura orgánica que actúa por medio de personas, y su sola denominación no revela si quien firmó lo hizo como titular, en suplencia por ausencia, como encargado del despacho o por cualquier otro título, circunstancias que el gobernado tiene derecho a conocer porque de ellas depende la validez de la actuación.</w:t>
      </w:r>
    </w:p>
    <w:p>
      <w:pPr>
        <w:spacing w:line="360" w:lineRule="auto"/>
        <w:jc w:val="both"/>
      </w:pPr>
      <w:r>
        <w:rPr>
          <w:rFonts w:ascii="Arial" w:hAnsi="Arial"/>
          <w:b w:val="0"/>
          <w:i w:val="0"/>
          <w:sz w:val="28"/>
        </w:rPr>
        <w:t xml:space="preserve">Por su parte, el artículo 51, fracción II, de la Ley Federal de Procedimiento Contencioso Administrativo declara ilegal la resolución que incurre en la </w:t>
      </w:r>
      <w:r>
        <w:rPr>
          <w:rFonts w:ascii="Arial" w:hAnsi="Arial"/>
          <w:b w:val="0"/>
          <w:i/>
          <w:sz w:val="28"/>
        </w:rPr>
        <w:t>“Omisión de los requisitos formales exigidos por las leyes, siempre que afecte las defensas de la persona particular y trascienda al sentido de la resolución impugnada”</w:t>
      </w:r>
      <w:r>
        <w:rPr>
          <w:rFonts w:ascii="Arial" w:hAnsi="Arial"/>
          <w:b w:val="0"/>
          <w:i w:val="0"/>
          <w:sz w:val="28"/>
        </w:rPr>
        <w:t>, y el segundo párrafo del numeral 50 obliga a la sentencia que anule por ese motivo a señalar de qué manera el vicio menoscabó la defensa y repercutió en el sentido de lo resuelto, de ahí que ambos extremos deban demostrarse desde la demanda.</w:t>
      </w:r>
    </w:p>
    <w:p>
      <w:pPr>
        <w:spacing w:line="360" w:lineRule="auto"/>
        <w:jc w:val="both"/>
      </w:pPr>
      <w:r>
        <w:rPr>
          <w:rFonts w:ascii="Arial" w:hAnsi="Arial"/>
          <w:b w:val="0"/>
          <w:i w:val="0"/>
          <w:sz w:val="28"/>
        </w:rPr>
        <w:t xml:space="preserve">La afectación a las defensas se produce porque, ignorando el cargo del firmante, la parte actora no puede contrastar los preceptos de competencia citados en el oficio con la persona que efectivamente lo suscribió, ni hacer valer con precisión la causal prevista en la fracción I del propio numeral 51, relativa a la </w:t>
      </w:r>
      <w:r>
        <w:rPr>
          <w:rFonts w:ascii="Arial" w:hAnsi="Arial"/>
          <w:b w:val="0"/>
          <w:i/>
          <w:sz w:val="28"/>
        </w:rPr>
        <w:t>“Incompetencia de la persona funcionaria que la haya dictado”</w:t>
      </w:r>
      <w:r>
        <w:rPr>
          <w:rFonts w:ascii="Arial" w:hAnsi="Arial"/>
          <w:b w:val="0"/>
          <w:i w:val="0"/>
          <w:sz w:val="28"/>
        </w:rPr>
        <w:t>, de suerte que el defecto formal la priva de un medio de defensa que la ley le reconoce.</w:t>
      </w:r>
    </w:p>
    <w:p>
      <w:pPr>
        <w:spacing w:line="360" w:lineRule="auto"/>
        <w:jc w:val="both"/>
      </w:pPr>
      <w:r>
        <w:rPr>
          <w:rFonts w:ascii="Arial" w:hAnsi="Arial"/>
          <w:b w:val="0"/>
          <w:i w:val="0"/>
          <w:sz w:val="28"/>
        </w:rPr>
        <w:t>La trascendencia al sentido de la resolución deriva de que la cancelación del registro es un acto de voluntad que sólo produce efectos válidos si lo expresa el servidor público a quien la norma otorga la atribución, por lo que la falta de certeza sobre el carácter con que actuó el signatario se proyecta sobre el núcleo mismo de la decisión adoptada.</w:t>
      </w:r>
    </w:p>
    <w:p>
      <w:pPr>
        <w:spacing w:line="360" w:lineRule="auto"/>
        <w:jc w:val="both"/>
      </w:pPr>
      <w:r>
        <w:rPr>
          <w:rFonts w:ascii="Arial" w:hAnsi="Arial"/>
          <w:b w:val="0"/>
          <w:i w:val="0"/>
          <w:sz w:val="28"/>
        </w:rPr>
        <w:t xml:space="preserve">A título meramente ilustrativo, y sin que se trate de jurisprudencia ni de un precedente obligatorio, la Segunda Sala Regional en Baja California del Tribunal Federal de Justicia Administrativa, al resolver el 21 de agosto de 2026 el juicio 670/26-01-02-2, sostuvo que </w:t>
      </w:r>
      <w:r>
        <w:rPr>
          <w:rFonts w:ascii="Arial" w:hAnsi="Arial"/>
          <w:b w:val="0"/>
          <w:i/>
          <w:sz w:val="28"/>
        </w:rPr>
        <w:t>“todo acto de autoridad debe señalar el cargo del emisor del mismo”</w:t>
      </w:r>
      <w:r>
        <w:rPr>
          <w:rFonts w:ascii="Arial" w:hAnsi="Arial"/>
          <w:b w:val="0"/>
          <w:i w:val="0"/>
          <w:sz w:val="28"/>
        </w:rPr>
        <w:t>, porque únicamente así puede constatarse que se trató de un funcionario autorizado por las normas que rigen la expedición del documento y atribuirle las consecuencias que le son propias.</w:t>
      </w:r>
    </w:p>
    <w:p>
      <w:pPr>
        <w:spacing w:line="360" w:lineRule="auto"/>
        <w:jc w:val="both"/>
      </w:pPr>
      <w:r>
        <w:rPr>
          <w:rFonts w:ascii="Arial" w:hAnsi="Arial"/>
          <w:b w:val="0"/>
          <w:i w:val="0"/>
          <w:sz w:val="28"/>
        </w:rPr>
        <w:t xml:space="preserve">Esa sentencia se aprobó por mayoría de votos, con un voto particular en el que se sostuvo que, al identificar el proemio a la unidad administrativa, podía inferirse que el firmante ostentaba el cargo de su titular, de modo que </w:t>
      </w:r>
      <w:r>
        <w:rPr>
          <w:rFonts w:ascii="Arial" w:hAnsi="Arial"/>
          <w:b w:val="0"/>
          <w:i/>
          <w:sz w:val="28"/>
        </w:rPr>
        <w:t>“resulta excesivo considerar que era necesario que lo especificara textualmente debajo de su firma electrónica”</w:t>
      </w:r>
      <w:r>
        <w:rPr>
          <w:rFonts w:ascii="Arial" w:hAnsi="Arial"/>
          <w:b w:val="0"/>
          <w:i w:val="0"/>
          <w:sz w:val="28"/>
        </w:rPr>
        <w:t>, postura que no prevaleció, pues el fallo declaró la nulidad con fundamento en los artículos 51, fracción II, y 52, fracción IV, de la ley procesal, luego de calificar de infundada la causal de improcedencia por falta de interés jurídico.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El oficio impugnado abre con la expresión </w:t>
      </w:r>
      <w:r>
        <w:rPr>
          <w:rFonts w:ascii="Arial" w:hAnsi="Arial"/>
          <w:b w:val="0"/>
          <w:i/>
          <w:sz w:val="28"/>
        </w:rPr>
        <w:t>“[DENOMINACIÓN DE LA UNIDAD ADMINISTRATIVA QUE APARECE EN EL PROEMIO]”</w:t>
      </w:r>
      <w:r>
        <w:rPr>
          <w:rFonts w:ascii="Arial" w:hAnsi="Arial"/>
          <w:b w:val="0"/>
          <w:i w:val="0"/>
          <w:sz w:val="28"/>
        </w:rPr>
        <w:t xml:space="preserve"> y concluye, a </w:t>
      </w:r>
      <w:r>
        <w:rPr>
          <w:rFonts w:ascii="Arial" w:hAnsi="Arial"/>
          <w:b/>
          <w:i w:val="0"/>
          <w:sz w:val="28"/>
        </w:rPr>
        <w:t>[FOLIOS O PÁGINAS DEL OFICIO DONDE CONSTA LA FIRMA]</w:t>
      </w:r>
      <w:r>
        <w:rPr>
          <w:rFonts w:ascii="Arial" w:hAnsi="Arial"/>
          <w:b w:val="0"/>
          <w:i w:val="0"/>
          <w:sz w:val="28"/>
        </w:rPr>
        <w:t>, con la firma electrónica avanzada de una persona identificada únicamente por su nombre, sin que debajo de ella, en la cadena original, en el sello digital ni en ningún otro pasaje del documento se exprese el cargo que ocupa el signatario.</w:t>
      </w:r>
    </w:p>
    <w:p>
      <w:pPr>
        <w:spacing w:line="360" w:lineRule="auto"/>
        <w:jc w:val="both"/>
      </w:pPr>
      <w:r>
        <w:rPr>
          <w:rFonts w:ascii="Arial" w:hAnsi="Arial"/>
          <w:b w:val="0"/>
          <w:i w:val="0"/>
          <w:sz w:val="28"/>
        </w:rPr>
        <w:t>Así, aunque el documento atribuye el contenido de la resolución a una unidad administrativa, omite precisar qué puesto ocupa quien la firmó, con lo cual incumple la fracción II del artículo 38 del Código Fiscal de la Federación, que exige identificar a la autoridad emisora, y también la V del mismo precepto, que reserva la suscripción al funcionario competente.</w:t>
      </w:r>
    </w:p>
    <w:p>
      <w:pPr>
        <w:spacing w:line="360" w:lineRule="auto"/>
        <w:jc w:val="both"/>
      </w:pPr>
      <w:r>
        <w:rPr>
          <w:rFonts w:ascii="Arial" w:hAnsi="Arial"/>
          <w:b w:val="0"/>
          <w:i w:val="0"/>
          <w:sz w:val="28"/>
        </w:rPr>
        <w:t xml:space="preserve">La omisión cobra especial gravedad porque el oficio funda la competencia de la unidad emisora en </w:t>
      </w:r>
      <w:r>
        <w:rPr>
          <w:rFonts w:ascii="Arial" w:hAnsi="Arial"/>
          <w:b/>
          <w:i w:val="0"/>
          <w:sz w:val="28"/>
        </w:rPr>
        <w:t>[PRECEPTOS DE COMPETENCIA INVOCADOS EN EL OFICIO]</w:t>
      </w:r>
      <w:r>
        <w:rPr>
          <w:rFonts w:ascii="Arial" w:hAnsi="Arial"/>
          <w:b w:val="0"/>
          <w:i w:val="0"/>
          <w:sz w:val="28"/>
        </w:rPr>
        <w:t>, y sin conocer el cargo del signatario la parte actora no puede verificar si esas disposiciones facultan precisamente a quien suscribió el acto, ni si éste actuó como titular, en suplencia o con algún otro carácter.</w:t>
      </w:r>
    </w:p>
    <w:p>
      <w:pPr>
        <w:spacing w:line="360" w:lineRule="auto"/>
        <w:jc w:val="both"/>
      </w:pPr>
      <w:r>
        <w:rPr>
          <w:rFonts w:ascii="Arial" w:hAnsi="Arial"/>
          <w:b w:val="0"/>
          <w:i w:val="0"/>
          <w:sz w:val="28"/>
        </w:rPr>
        <w:t>Por esa razón el vicio afecta las defensas de la parte actora y trasciende al sentido de la determinación, en los términos expuestos en el apartado anterior, ya que la priva de la posibilidad de cuestionar la competencia del firmante y deja en la incertidumbre si la cancelación del registro proviene de quien legalmente podía decidirla.</w:t>
      </w:r>
    </w:p>
    <w:p>
      <w:pPr>
        <w:spacing w:line="360" w:lineRule="auto"/>
        <w:jc w:val="both"/>
      </w:pPr>
      <w:r>
        <w:rPr>
          <w:rFonts w:ascii="Arial" w:hAnsi="Arial"/>
          <w:b w:val="0"/>
          <w:i w:val="0"/>
          <w:sz w:val="28"/>
        </w:rPr>
        <w:t>Ahora bien, al defender la legalidad del acto con apoyo en la presunción del artículo 42 de la Ley Federal de Procedimiento Contencioso Administrativo, la autoridad podría sostener, en la línea del voto particular mencionado, que del proemio se infiere que el firmante es titular de la unidad emisora y que exigir el cargo debajo de la firma constituye un formalismo excesivo.</w:t>
      </w:r>
    </w:p>
    <w:p>
      <w:pPr>
        <w:spacing w:line="360" w:lineRule="auto"/>
        <w:jc w:val="both"/>
      </w:pPr>
      <w:r>
        <w:rPr>
          <w:rFonts w:ascii="Arial" w:hAnsi="Arial"/>
          <w:b w:val="0"/>
          <w:i w:val="0"/>
          <w:sz w:val="28"/>
        </w:rPr>
        <w:t>Ese razonamiento incurre en petición de principio, vicio que se comete cuando se utiliza como premisa una proposición cuya verdad no está probada, pues la autoridad da por sentado que la persona que firmó es la titular de la unidad, que es justamente el hecho que el requisito formal obliga a hacer constar en el propio documento.</w:t>
      </w:r>
      <w:r>
        <w:rPr>
          <w:rFonts w:ascii="Arial" w:hAnsi="Arial"/>
          <w:vertAlign w:val="superscript"/>
        </w:rPr>
        <w:t>4</w:t>
      </w:r>
    </w:p>
    <w:p>
      <w:pPr>
        <w:spacing w:line="360" w:lineRule="auto"/>
        <w:jc w:val="both"/>
      </w:pPr>
      <w:r>
        <w:rPr>
          <w:rFonts w:ascii="Arial" w:hAnsi="Arial"/>
          <w:b w:val="0"/>
          <w:i w:val="0"/>
          <w:sz w:val="28"/>
        </w:rPr>
        <w:t>Constituye, además, un non sequitur, categoría que agrupa los argumentos cuya conclusión no se desprende de sus premisas, ya que de que el oficio se atribuya a una unidad administrativa y de que lo suscriba una persona con nombre no se sigue que ésta ocupe la titularidad, cuando igualmente pudo firmar un suplente, un encargado del despacho o alguien carente de atribuciones.</w:t>
      </w:r>
      <w:r>
        <w:rPr>
          <w:rFonts w:ascii="Arial" w:hAnsi="Arial"/>
          <w:vertAlign w:val="superscript"/>
        </w:rPr>
        <w:t>5</w:t>
      </w:r>
    </w:p>
    <w:p>
      <w:pPr>
        <w:spacing w:line="360" w:lineRule="auto"/>
        <w:jc w:val="both"/>
      </w:pPr>
      <w:r>
        <w:rPr>
          <w:rFonts w:ascii="Arial" w:hAnsi="Arial"/>
          <w:b w:val="0"/>
          <w:i w:val="0"/>
          <w:sz w:val="28"/>
        </w:rPr>
        <w:t>En el mejor de los casos, la inferencia propuesta equivale a lo que la tradición jurídica denomina presunción del hombre, formulada por el juzgador y cuya conclusión tiene un carácter sólo probable porque descansa en la verosimilitud de lo que normalmente ocurre, y una conjetura de esa índole no puede suplir un requisito que la ley ordena expresar en el acto para que el particular tenga certeza, sin necesidad de deducciones, sobre quién lo emite.</w:t>
      </w:r>
      <w:r>
        <w:rPr>
          <w:rFonts w:ascii="Arial" w:hAnsi="Arial"/>
          <w:vertAlign w:val="superscript"/>
        </w:rPr>
        <w:t>6</w:t>
      </w:r>
    </w:p>
    <w:p>
      <w:pPr>
        <w:spacing w:line="360" w:lineRule="auto"/>
        <w:jc w:val="both"/>
      </w:pPr>
      <w:r>
        <w:rPr>
          <w:rFonts w:ascii="Arial" w:hAnsi="Arial"/>
          <w:b w:val="0"/>
          <w:i w:val="0"/>
          <w:sz w:val="28"/>
        </w:rPr>
        <w:t>Tampoco la presunción de legalidad del citado artículo 42 remedia el defecto, porque ese dispositivo presume legales las resoluciones sin dispensar a la autoridad de cumplir los requisitos de forma, y la satisfacción de una exigencia que debe constar en el documento se verifica con su sola lectura, que en este caso revela la ausencia del cargo.</w:t>
      </w:r>
    </w:p>
    <w:p>
      <w:pPr>
        <w:spacing w:line="360" w:lineRule="auto"/>
        <w:jc w:val="both"/>
      </w:pPr>
      <w:r>
        <w:rPr>
          <w:rFonts w:ascii="Arial" w:hAnsi="Arial"/>
          <w:b w:val="0"/>
          <w:i w:val="0"/>
          <w:sz w:val="28"/>
        </w:rPr>
        <w:t>Por la misma razón, la autoridad no puede subsanar la omisión al contestar la demanda, exhibiendo nombramientos o explicando quién firmó, porque la legalidad del acto se juzga conforme a lo que el propio oficio expresa, y el artículo 22 de la ley procesal prohíbe cambiar en la contestación los fundamentos de derecho de la resolución impugnada, lo que impide integrar a posteriori la competencia del firmante con datos ajenos al documento.</w:t>
      </w:r>
    </w:p>
    <w:p>
      <w:pPr>
        <w:spacing w:line="360" w:lineRule="auto"/>
        <w:jc w:val="both"/>
      </w:pPr>
      <w:r>
        <w:rPr>
          <w:rFonts w:ascii="Arial" w:hAnsi="Arial"/>
          <w:b w:val="0"/>
          <w:i w:val="0"/>
          <w:sz w:val="28"/>
        </w:rPr>
        <w:t>Finalmente, calificar de excesiva la exigencia del cargo traslada al particular la carga de reconstruir, a partir de indicios, la identidad funcional de quien lo afecta, cuando el Código Fiscal de la Federación impone ese deber, en exclusiva, a la autoridad emisora.</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el oficio </w:t>
      </w:r>
      <w:r>
        <w:rPr>
          <w:rFonts w:ascii="Arial" w:hAnsi="Arial"/>
          <w:b/>
          <w:i w:val="0"/>
          <w:sz w:val="28"/>
        </w:rPr>
        <w:t>[NÚMERO DE OFICIO DE LA RESOLUCIÓN IMPUGNADA]</w:t>
      </w:r>
      <w:r>
        <w:rPr>
          <w:rFonts w:ascii="Arial" w:hAnsi="Arial"/>
          <w:b w:val="0"/>
          <w:i w:val="0"/>
          <w:sz w:val="28"/>
        </w:rPr>
        <w:t xml:space="preserve"> identifica a la unidad administrativa en su proemio y ostenta una firma electrónica, pero omite el cargo de quien la estampó, por lo que incumple las fracciones II y V del artículo 38 del Código Fiscal de la Federación, afecta las defensas de la parte actora al impedirle verificar y combatir la competencia del signatario y trasciende al sentido de la cancelación, con lo que se actualiza la causal de ilegalidad del numeral 51, fracción II, de la Ley Federal de Procedimiento Contencioso Administrativo.</w:t>
      </w:r>
    </w:p>
    <w:p>
      <w:pPr>
        <w:spacing w:line="360" w:lineRule="auto"/>
        <w:jc w:val="both"/>
      </w:pPr>
      <w:r>
        <w:rPr>
          <w:rFonts w:ascii="Arial" w:hAnsi="Arial"/>
          <w:b w:val="0"/>
          <w:i w:val="0"/>
          <w:sz w:val="28"/>
        </w:rPr>
        <w:t>Por lo expuesto, se solicita declarar fundado este concepto de impugnación y la nulidad de la resolución impugnada, con fundamento en los artículos 51, fracción II, y 52 de la ley procesal citada.</w:t>
      </w:r>
    </w:p>
    <w:p>
      <w:pPr>
        <w:spacing w:line="360" w:lineRule="auto"/>
        <w:jc w:val="both"/>
      </w:pPr>
      <w:r>
        <w:rPr>
          <w:rFonts w:ascii="Arial" w:hAnsi="Arial"/>
          <w:b w:val="0"/>
          <w:i w:val="0"/>
          <w:sz w:val="28"/>
        </w:rPr>
        <w:t xml:space="preserve">En atención al segundo párrafo del artículo 50 de ese ordenamiento, se pide además que la Sala examine en primer término </w:t>
      </w:r>
      <w:r>
        <w:rPr>
          <w:rFonts w:ascii="Arial" w:hAnsi="Arial"/>
          <w:b/>
          <w:i w:val="0"/>
          <w:sz w:val="28"/>
        </w:rPr>
        <w:t>[CONCEPTOS DE IMPUGNACIÓN DE FONDO]</w:t>
      </w:r>
      <w:r>
        <w:rPr>
          <w:rFonts w:ascii="Arial" w:hAnsi="Arial"/>
          <w:b w:val="0"/>
          <w:i w:val="0"/>
          <w:sz w:val="28"/>
        </w:rPr>
        <w:t>, pues de resultar fundados conducirían a una nulidad lisa y llana que impediría a la autoridad reiterar la cancelación por los mismos motivos, beneficio mayor que el derivado de este vicio formal, cuya consecuencia, conforme a la fracción IV del numeral 52, puede ser la emisión de una nueva resolución.</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656.</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FERRER MAC-GREGOR, op. cit.</w:t>
      </w:r>
      <w:r>
        <w:rPr>
          <w:rFonts w:ascii="Arial" w:hAnsi="Arial"/>
          <w:i w:val="0"/>
          <w:sz w:val="20"/>
        </w:rPr>
        <w:t>, p. 59.</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CÁRDENAS RAMÍREZ, Francisco Javier, </w:t>
      </w:r>
      <w:r>
        <w:rPr>
          <w:rFonts w:ascii="Arial" w:hAnsi="Arial"/>
          <w:i/>
          <w:sz w:val="20"/>
        </w:rPr>
        <w:t>La decisión judicial colegiada frente a una argumentación dividida. Comentarios a la sentencia SDF-JDC-185/2010</w:t>
      </w:r>
      <w:r>
        <w:rPr>
          <w:rFonts w:ascii="Arial" w:hAnsi="Arial"/>
          <w:i w:val="0"/>
          <w:sz w:val="20"/>
        </w:rPr>
        <w:t>, Tribunal Electoral del Poder Judicial de la Federación, México, 2012, p. 20.</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64.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47.</w:t>
      </w:r>
    </w:p>
    <w:p/>
    <w:p>
      <w:r>
        <w:rPr>
          <w:rFonts w:ascii="Arial" w:hAnsi="Arial"/>
          <w:b/>
          <w:sz w:val="22"/>
        </w:rPr>
        <w:t>BIBLIOGRAFÍA</w:t>
      </w:r>
    </w:p>
    <w:p>
      <w:pPr>
        <w:spacing w:after="60"/>
        <w:ind w:left="360" w:hanging="360"/>
        <w:jc w:val="both"/>
      </w:pPr>
      <w:r>
        <w:rPr>
          <w:rFonts w:ascii="Arial" w:hAnsi="Arial"/>
          <w:i w:val="0"/>
          <w:sz w:val="20"/>
        </w:rPr>
        <w:t xml:space="preserve">CÁRDENAS RAMÍREZ, Francisco Javier, </w:t>
      </w:r>
      <w:r>
        <w:rPr>
          <w:rFonts w:ascii="Arial" w:hAnsi="Arial"/>
          <w:i/>
          <w:sz w:val="20"/>
        </w:rPr>
        <w:t>La decisión judicial colegiada frente a una argumentación dividida. Comentarios a la sentencia SDF-JDC-185/2010</w:t>
      </w:r>
      <w:r>
        <w:rPr>
          <w:rFonts w:ascii="Arial" w:hAnsi="Arial"/>
          <w:i w:val="0"/>
          <w:sz w:val="20"/>
        </w:rPr>
        <w:t>, Tribunal Electoral del Poder Judicial de la Federación, México, 2012.</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