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PRESCRIPCIÓN DEL CRÉDITO FISCAL E INMOVILIZACIÓN DE CUENTAS BANCARIAS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Antes de rellenar nada, arma la línea del tiempo con el expediente administrativo en la mano: fecha de la resolución determinante, fecha en que surtió efectos su notificación, fecha de exigibilidad y fecha en que se te notificó el acto que impugnas. Si entre la tercera y la cuarta hay más de cinco años sin actuación notificada, el machote es para ti.</w:t>
      </w:r>
    </w:p>
    <w:p>
      <w:pPr>
        <w:spacing w:line="360" w:lineRule="auto"/>
        <w:jc w:val="both"/>
      </w:pPr>
      <w:r>
        <w:rPr>
          <w:rFonts w:ascii="Arial" w:hAnsi="Arial"/>
          <w:b w:val="0"/>
          <w:i w:val="0"/>
          <w:sz w:val="24"/>
        </w:rPr>
        <w:t>Después sustituye los campos entre corchetes, conserva el orden de los apartados I a V y ajusta el rubro al número ordinal que le toque a este concepto dentro de tu demanda. Recuerda que la demanda de nulidad se presenta dentro de los treinta días que señala el artículo 58-2, párrafo tercero, de la Ley Federal de Procedimiento Contencioso Administrativo, también en la vía sumaria.</w:t>
      </w:r>
    </w:p>
    <w:p>
      <w:pPr>
        <w:spacing w:line="360" w:lineRule="auto"/>
        <w:jc w:val="both"/>
      </w:pPr>
      <w:r>
        <w:rPr>
          <w:rFonts w:ascii="Arial" w:hAnsi="Arial"/>
          <w:b w:val="0"/>
          <w:i w:val="0"/>
          <w:sz w:val="24"/>
        </w:rPr>
        <w:t>Si además te congelaron la cuenta de tu pensión o de tu nómina, plantea esa pretensión en concepto aparte y pide expresamente la restitución de las cantidades cargadas. Y calendariza desde ahora la revisión del acuerdo que tenga por contestada la demanda: si la autoridad exhibe constancias nuevas, hay que ampliar.</w:t>
      </w:r>
    </w:p>
    <w:p>
      <w:pPr>
        <w:spacing w:line="360" w:lineRule="auto"/>
        <w:jc w:val="both"/>
      </w:pPr>
      <w:r>
        <w:rPr>
          <w:rFonts w:ascii="Arial" w:hAnsi="Arial"/>
          <w:b w:val="0"/>
          <w:i w:val="0"/>
          <w:sz w:val="24"/>
        </w:rPr>
        <w:t>Campos editables:</w:t>
      </w:r>
    </w:p>
    <w:p>
      <w:pPr>
        <w:spacing w:line="360" w:lineRule="auto"/>
        <w:jc w:val="both"/>
      </w:pPr>
      <w:r>
        <w:rPr>
          <w:rFonts w:ascii="Arial" w:hAnsi="Arial"/>
          <w:b/>
          <w:i w:val="0"/>
          <w:sz w:val="24"/>
        </w:rPr>
        <w:t>[NÚMERO ORDINAL DEL CONCEPTO]</w:t>
      </w:r>
      <w:r>
        <w:rPr>
          <w:rFonts w:ascii="Arial" w:hAnsi="Arial"/>
          <w:b w:val="0"/>
          <w:i w:val="0"/>
          <w:sz w:val="24"/>
        </w:rPr>
        <w:t>: PRIMERO, SEGUNDO, TERCERO, según el lugar que ocupe en tu demanda.</w:t>
      </w:r>
    </w:p>
    <w:p>
      <w:pPr>
        <w:spacing w:line="360" w:lineRule="auto"/>
        <w:jc w:val="both"/>
      </w:pPr>
      <w:r>
        <w:rPr>
          <w:rFonts w:ascii="Arial" w:hAnsi="Arial"/>
          <w:b/>
          <w:i w:val="0"/>
          <w:sz w:val="24"/>
        </w:rPr>
        <w:t>[NÚMERO Y FECHA DEL OFICIO IMPUGNADO]</w:t>
      </w:r>
      <w:r>
        <w:rPr>
          <w:rFonts w:ascii="Arial" w:hAnsi="Arial"/>
          <w:b w:val="0"/>
          <w:i w:val="0"/>
          <w:sz w:val="24"/>
        </w:rPr>
        <w:t>: el número de oficio completo y su fecha, tal como aparecen en el documento que te notificaron.</w:t>
      </w:r>
    </w:p>
    <w:p>
      <w:pPr>
        <w:spacing w:line="360" w:lineRule="auto"/>
        <w:jc w:val="both"/>
      </w:pPr>
      <w:r>
        <w:rPr>
          <w:rFonts w:ascii="Arial" w:hAnsi="Arial"/>
          <w:b/>
          <w:i w:val="0"/>
          <w:sz w:val="24"/>
        </w:rPr>
        <w:t>[AUTORIDAD DEMANDADA]</w:t>
      </w:r>
      <w:r>
        <w:rPr>
          <w:rFonts w:ascii="Arial" w:hAnsi="Arial"/>
          <w:b w:val="0"/>
          <w:i w:val="0"/>
          <w:sz w:val="24"/>
        </w:rPr>
        <w:t>: la administración desconcentrada de recaudación que emitió el oficio, con su denominación exacta.</w:t>
      </w:r>
    </w:p>
    <w:p>
      <w:pPr>
        <w:spacing w:line="360" w:lineRule="auto"/>
        <w:jc w:val="both"/>
      </w:pPr>
      <w:r>
        <w:rPr>
          <w:rFonts w:ascii="Arial" w:hAnsi="Arial"/>
          <w:b/>
          <w:i w:val="0"/>
          <w:sz w:val="24"/>
        </w:rPr>
        <w:t>[NÚMERO DE CONTROL DEL CRÉDITO FISCAL]</w:t>
      </w:r>
      <w:r>
        <w:rPr>
          <w:rFonts w:ascii="Arial" w:hAnsi="Arial"/>
          <w:b w:val="0"/>
          <w:i w:val="0"/>
          <w:sz w:val="24"/>
        </w:rPr>
        <w:t>: el número del crédito cuya prescripción alegas; si son varios, repite el concepto por cada uno.</w:t>
      </w:r>
    </w:p>
    <w:p>
      <w:pPr>
        <w:spacing w:line="360" w:lineRule="auto"/>
        <w:jc w:val="both"/>
      </w:pPr>
      <w:r>
        <w:rPr>
          <w:rFonts w:ascii="Arial" w:hAnsi="Arial"/>
          <w:b/>
          <w:i w:val="0"/>
          <w:sz w:val="24"/>
        </w:rPr>
        <w:t>[NÚMEROS DE LAS CUENTAS BANCARIAS INMOVILIZADAS]</w:t>
      </w:r>
      <w:r>
        <w:rPr>
          <w:rFonts w:ascii="Arial" w:hAnsi="Arial"/>
          <w:b w:val="0"/>
          <w:i w:val="0"/>
          <w:sz w:val="24"/>
        </w:rPr>
        <w:t>: los números de cuenta que menciona el oficio.</w:t>
      </w:r>
    </w:p>
    <w:p>
      <w:pPr>
        <w:spacing w:line="360" w:lineRule="auto"/>
        <w:jc w:val="both"/>
      </w:pPr>
      <w:r>
        <w:rPr>
          <w:rFonts w:ascii="Arial" w:hAnsi="Arial"/>
          <w:b/>
          <w:i w:val="0"/>
          <w:sz w:val="24"/>
        </w:rPr>
        <w:t>[INSTITUCIÓN DE BANCA MÚLTIPLE]</w:t>
      </w:r>
      <w:r>
        <w:rPr>
          <w:rFonts w:ascii="Arial" w:hAnsi="Arial"/>
          <w:b w:val="0"/>
          <w:i w:val="0"/>
          <w:sz w:val="24"/>
        </w:rPr>
        <w:t>: el banco donde están abiertas esas cuentas.</w:t>
      </w:r>
    </w:p>
    <w:p>
      <w:pPr>
        <w:spacing w:line="360" w:lineRule="auto"/>
        <w:jc w:val="both"/>
      </w:pPr>
      <w:r>
        <w:rPr>
          <w:rFonts w:ascii="Arial" w:hAnsi="Arial"/>
          <w:b/>
          <w:i w:val="0"/>
          <w:sz w:val="24"/>
        </w:rPr>
        <w:t>[FECHA DE LA RESOLUCIÓN DETERMINANTE]</w:t>
      </w:r>
      <w:r>
        <w:rPr>
          <w:rFonts w:ascii="Arial" w:hAnsi="Arial"/>
          <w:b w:val="0"/>
          <w:i w:val="0"/>
          <w:sz w:val="24"/>
        </w:rPr>
        <w:t>: la fecha de la boleta o resolución que impuso la multa.</w:t>
      </w:r>
    </w:p>
    <w:p>
      <w:pPr>
        <w:spacing w:line="360" w:lineRule="auto"/>
        <w:jc w:val="both"/>
      </w:pPr>
      <w:r>
        <w:rPr>
          <w:rFonts w:ascii="Arial" w:hAnsi="Arial"/>
          <w:b/>
          <w:i w:val="0"/>
          <w:sz w:val="24"/>
        </w:rPr>
        <w:t>[AUTORIDAD QUE EMITIÓ LA RESOLUCIÓN DETERMINANTE]</w:t>
      </w:r>
      <w:r>
        <w:rPr>
          <w:rFonts w:ascii="Arial" w:hAnsi="Arial"/>
          <w:b w:val="0"/>
          <w:i w:val="0"/>
          <w:sz w:val="24"/>
        </w:rPr>
        <w:t>: la corporación o dependencia que impuso la sanción.</w:t>
      </w:r>
    </w:p>
    <w:p>
      <w:pPr>
        <w:spacing w:line="360" w:lineRule="auto"/>
        <w:jc w:val="both"/>
      </w:pPr>
      <w:r>
        <w:rPr>
          <w:rFonts w:ascii="Arial" w:hAnsi="Arial"/>
          <w:b/>
          <w:i w:val="0"/>
          <w:sz w:val="24"/>
        </w:rPr>
        <w:t>[FECHA EN QUE SURTIÓ EFECTOS LA NOTIFICACIÓN DE LA DETERMINANTE]</w:t>
      </w:r>
      <w:r>
        <w:rPr>
          <w:rFonts w:ascii="Arial" w:hAnsi="Arial"/>
          <w:b w:val="0"/>
          <w:i w:val="0"/>
          <w:sz w:val="24"/>
        </w:rPr>
        <w:t>: no la fecha de la diligencia, sino aquella en que surtió efectos.</w:t>
      </w:r>
    </w:p>
    <w:p>
      <w:pPr>
        <w:spacing w:line="360" w:lineRule="auto"/>
        <w:jc w:val="both"/>
      </w:pPr>
      <w:r>
        <w:rPr>
          <w:rFonts w:ascii="Arial" w:hAnsi="Arial"/>
          <w:b/>
          <w:i w:val="0"/>
          <w:sz w:val="24"/>
        </w:rPr>
        <w:t>[FECHA DE EXIGIBILIDAD DEL CRÉDITO]</w:t>
      </w:r>
      <w:r>
        <w:rPr>
          <w:rFonts w:ascii="Arial" w:hAnsi="Arial"/>
          <w:b w:val="0"/>
          <w:i w:val="0"/>
          <w:sz w:val="24"/>
        </w:rPr>
        <w:t>: el día en que venció el plazo previo a la ejecución; es el arranque del cómputo.</w:t>
      </w:r>
    </w:p>
    <w:p>
      <w:pPr>
        <w:spacing w:line="360" w:lineRule="auto"/>
        <w:jc w:val="both"/>
      </w:pPr>
      <w:r>
        <w:rPr>
          <w:rFonts w:ascii="Arial" w:hAnsi="Arial"/>
          <w:b/>
          <w:i w:val="0"/>
          <w:sz w:val="24"/>
        </w:rPr>
        <w:t>[FECHA DE NOTIFICACIÓN DEL ACTO IMPUGNADO]</w:t>
      </w:r>
      <w:r>
        <w:rPr>
          <w:rFonts w:ascii="Arial" w:hAnsi="Arial"/>
          <w:b w:val="0"/>
          <w:i w:val="0"/>
          <w:sz w:val="24"/>
        </w:rPr>
        <w:t>: el día en que se te hizo saber el oficio, por buzón tributario o personalmente.</w:t>
      </w:r>
    </w:p>
    <w:p>
      <w:pPr>
        <w:spacing w:line="360" w:lineRule="auto"/>
        <w:jc w:val="both"/>
      </w:pPr>
      <w:r>
        <w:rPr>
          <w:rFonts w:ascii="Arial" w:hAnsi="Arial"/>
          <w:b/>
          <w:i w:val="0"/>
          <w:sz w:val="24"/>
        </w:rPr>
        <w:t>[TIEMPO TRANSCURRIDO EN AÑOS, MESES Y DÍAS]</w:t>
      </w:r>
      <w:r>
        <w:rPr>
          <w:rFonts w:ascii="Arial" w:hAnsi="Arial"/>
          <w:b w:val="0"/>
          <w:i w:val="0"/>
          <w:sz w:val="24"/>
        </w:rPr>
        <w:t>: el resultado del cómputo, expresado con precisión.</w:t>
      </w:r>
    </w:p>
    <w:p>
      <w:pPr>
        <w:spacing w:line="360" w:lineRule="auto"/>
        <w:jc w:val="both"/>
      </w:pPr>
      <w:r>
        <w:rPr>
          <w:rFonts w:ascii="Arial" w:hAnsi="Arial"/>
          <w:b/>
          <w:i w:val="0"/>
          <w:sz w:val="24"/>
        </w:rPr>
        <w:t>[SALA REGIONAL COMPETENTE]</w:t>
      </w:r>
      <w:r>
        <w:rPr>
          <w:rFonts w:ascii="Arial" w:hAnsi="Arial"/>
          <w:b w:val="0"/>
          <w:i w:val="0"/>
          <w:sz w:val="24"/>
        </w:rPr>
        <w:t>: la Sala ante la que presentas la demanda.</w:t>
      </w:r>
    </w:p>
    <w:p/>
    <w:p>
      <w:pPr>
        <w:spacing w:line="360" w:lineRule="auto"/>
        <w:jc w:val="both"/>
      </w:pPr>
      <w:r>
        <w:rPr>
          <w:rFonts w:ascii="Arial" w:hAnsi="Arial"/>
          <w:b/>
          <w:sz w:val="28"/>
        </w:rPr>
        <w:t>[NÚMERO ORDINAL DEL CONCEPTO] CONCEPTO DE IMPUGNACIÓN. Prescripción del crédito fiscal cuyo cobro se pretende mediante la inmovilización de cuentas bancarias. La autoridad recaudadora exigió el pago de un crédito extinguido por el transcurso de los cinco años que prevé el artículo 146 del Código Fiscal de la Federación, sin que obre gestión de cobro notificada al deudor, reconocimiento de éste ni constancia que acredite la suspensión del plazo, lo que actualiza la causal de nulidad del artículo 51, fracción IV,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oficio </w:t>
      </w:r>
      <w:r>
        <w:rPr>
          <w:rFonts w:ascii="Arial" w:hAnsi="Arial"/>
          <w:b/>
          <w:i w:val="0"/>
          <w:sz w:val="28"/>
        </w:rPr>
        <w:t>[NÚMERO Y FECHA DEL OFICIO IMPUGNADO]</w:t>
      </w:r>
      <w:r>
        <w:rPr>
          <w:rFonts w:ascii="Arial" w:hAnsi="Arial"/>
          <w:b w:val="0"/>
          <w:i w:val="0"/>
          <w:sz w:val="28"/>
        </w:rPr>
        <w:t xml:space="preserve">, emitido por la </w:t>
      </w:r>
      <w:r>
        <w:rPr>
          <w:rFonts w:ascii="Arial" w:hAnsi="Arial"/>
          <w:b/>
          <w:i w:val="0"/>
          <w:sz w:val="28"/>
        </w:rPr>
        <w:t>[AUTORIDAD DEMANDADA]</w:t>
      </w:r>
      <w:r>
        <w:rPr>
          <w:rFonts w:ascii="Arial" w:hAnsi="Arial"/>
          <w:b w:val="0"/>
          <w:i w:val="0"/>
          <w:sz w:val="28"/>
        </w:rPr>
        <w:t xml:space="preserve">, es ilegal porque con él se exigió a la parte actora el pago del crédito fiscal con número de control </w:t>
      </w:r>
      <w:r>
        <w:rPr>
          <w:rFonts w:ascii="Arial" w:hAnsi="Arial"/>
          <w:b/>
          <w:i w:val="0"/>
          <w:sz w:val="28"/>
        </w:rPr>
        <w:t>[NÚMERO DE CONTROL DEL CRÉDITO FISCAL]</w:t>
      </w:r>
      <w:r>
        <w:rPr>
          <w:rFonts w:ascii="Arial" w:hAnsi="Arial"/>
          <w:b w:val="0"/>
          <w:i w:val="0"/>
          <w:sz w:val="28"/>
        </w:rPr>
        <w:t xml:space="preserve"> y, para asegurar ese cobro, se ordenó la inmovilización de las cuentas bancarias </w:t>
      </w:r>
      <w:r>
        <w:rPr>
          <w:rFonts w:ascii="Arial" w:hAnsi="Arial"/>
          <w:b/>
          <w:i w:val="0"/>
          <w:sz w:val="28"/>
        </w:rPr>
        <w:t>[NÚMEROS DE LAS CUENTAS BANCARIAS INMOVILIZADAS]</w:t>
      </w:r>
      <w:r>
        <w:rPr>
          <w:rFonts w:ascii="Arial" w:hAnsi="Arial"/>
          <w:b w:val="0"/>
          <w:i w:val="0"/>
          <w:sz w:val="28"/>
        </w:rPr>
        <w:t xml:space="preserve"> que aquélla tiene abiertas en </w:t>
      </w:r>
      <w:r>
        <w:rPr>
          <w:rFonts w:ascii="Arial" w:hAnsi="Arial"/>
          <w:b/>
          <w:i w:val="0"/>
          <w:sz w:val="28"/>
        </w:rPr>
        <w:t>[INSTITUCIÓN DE BANCA MÚLTIPLE]</w:t>
      </w:r>
      <w:r>
        <w:rPr>
          <w:rFonts w:ascii="Arial" w:hAnsi="Arial"/>
          <w:b w:val="0"/>
          <w:i w:val="0"/>
          <w:sz w:val="28"/>
        </w:rPr>
        <w:t>, cuando el crédito ya se había extinguido por prescripción mucho antes de esa actuación.</w:t>
      </w:r>
    </w:p>
    <w:p>
      <w:pPr>
        <w:spacing w:line="360" w:lineRule="auto"/>
        <w:jc w:val="both"/>
      </w:pPr>
      <w:r>
        <w:rPr>
          <w:rFonts w:ascii="Arial" w:hAnsi="Arial"/>
          <w:b w:val="0"/>
          <w:i w:val="0"/>
          <w:sz w:val="28"/>
        </w:rPr>
        <w:t>La demostración descansa en una premisa sencilla y verificable con las propias constancias del expediente administrativo: conforme al artículo 146 del Código Fiscal de la Federación, el crédito fiscal se extingue por prescripción en el término de cinco años contados a partir de la fecha en que el pago pudo ser legalmente exigido; ese término sólo se interrumpe con cada gestión de cobro que la autoridad notifique o haga saber al deudor, o con el reconocimiento expreso o tácito que éste haga del adeudo, y sólo se suspende en los supuestos que el propio precepto enumera.</w:t>
      </w:r>
    </w:p>
    <w:p>
      <w:pPr>
        <w:spacing w:line="360" w:lineRule="auto"/>
        <w:jc w:val="both"/>
      </w:pPr>
      <w:r>
        <w:rPr>
          <w:rFonts w:ascii="Arial" w:hAnsi="Arial"/>
          <w:b w:val="0"/>
          <w:i w:val="0"/>
          <w:sz w:val="28"/>
        </w:rPr>
        <w:t xml:space="preserve">Aplicada esa premisa al caso, el resultado es aritmético. El crédito se hizo legalmente exigible el </w:t>
      </w:r>
      <w:r>
        <w:rPr>
          <w:rFonts w:ascii="Arial" w:hAnsi="Arial"/>
          <w:b/>
          <w:i w:val="0"/>
          <w:sz w:val="28"/>
        </w:rPr>
        <w:t>[FECHA DE EXIGIBILIDAD DEL CRÉDITO]</w:t>
      </w:r>
      <w:r>
        <w:rPr>
          <w:rFonts w:ascii="Arial" w:hAnsi="Arial"/>
          <w:b w:val="0"/>
          <w:i w:val="0"/>
          <w:sz w:val="28"/>
        </w:rPr>
        <w:t xml:space="preserve"> y la primera actuación posterior que la autoridad hizo del conocimiento de la parte actora fue, precisamente, el oficio impugnado, notificado el </w:t>
      </w:r>
      <w:r>
        <w:rPr>
          <w:rFonts w:ascii="Arial" w:hAnsi="Arial"/>
          <w:b/>
          <w:i w:val="0"/>
          <w:sz w:val="28"/>
        </w:rPr>
        <w:t>[FECHA DE NOTIFICACIÓN DEL ACTO IMPUGNADO]</w:t>
      </w:r>
      <w:r>
        <w:rPr>
          <w:rFonts w:ascii="Arial" w:hAnsi="Arial"/>
          <w:b w:val="0"/>
          <w:i w:val="0"/>
          <w:sz w:val="28"/>
        </w:rPr>
        <w:t xml:space="preserve">; entre una y otra fecha transcurrieron </w:t>
      </w:r>
      <w:r>
        <w:rPr>
          <w:rFonts w:ascii="Arial" w:hAnsi="Arial"/>
          <w:b/>
          <w:i w:val="0"/>
          <w:sz w:val="28"/>
        </w:rPr>
        <w:t>[TIEMPO TRANSCURRIDO EN AÑOS, MESES Y DÍAS]</w:t>
      </w:r>
      <w:r>
        <w:rPr>
          <w:rFonts w:ascii="Arial" w:hAnsi="Arial"/>
          <w:b w:val="0"/>
          <w:i w:val="0"/>
          <w:sz w:val="28"/>
        </w:rPr>
        <w:t>, es decir, en exceso del plazo legal, sin que en el expediente administrativo exista constancia de gestión de cobro alguna notificada ni de reconocimiento del adeudo.</w:t>
      </w:r>
    </w:p>
    <w:p>
      <w:pPr>
        <w:spacing w:line="360" w:lineRule="auto"/>
        <w:jc w:val="both"/>
      </w:pPr>
      <w:r>
        <w:rPr>
          <w:rFonts w:ascii="Arial" w:hAnsi="Arial"/>
          <w:b w:val="0"/>
          <w:i w:val="0"/>
          <w:sz w:val="28"/>
        </w:rPr>
        <w:t>Si la premisa se respeta, la conclusión es forzosa: la autoridad apreció de manera incorrecta los hechos que motivaron su resolución y ésta carece de la debida fundamentación y motivación, lo que actualiza la causal de nulidad prevista en el artículo 51, fracción IV, de la Ley Federal de Procedimiento Contencioso Administrativo, y procede declarar la nulidad lisa y llana del acto impugnado en términos del artículo 52, fracción II, del mismo ordenamiento, con la precisión de que ningún acto consecuencia directa de ese crédito puede surtir efecto legal.</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es el oficio </w:t>
      </w:r>
      <w:r>
        <w:rPr>
          <w:rFonts w:ascii="Arial" w:hAnsi="Arial"/>
          <w:b/>
          <w:i w:val="0"/>
          <w:sz w:val="28"/>
        </w:rPr>
        <w:t>[NÚMERO Y FECHA DEL OFICIO IMPUGNADO]</w:t>
      </w:r>
      <w:r>
        <w:rPr>
          <w:rFonts w:ascii="Arial" w:hAnsi="Arial"/>
          <w:b w:val="0"/>
          <w:i w:val="0"/>
          <w:sz w:val="28"/>
        </w:rPr>
        <w:t xml:space="preserve">, emitido por la </w:t>
      </w:r>
      <w:r>
        <w:rPr>
          <w:rFonts w:ascii="Arial" w:hAnsi="Arial"/>
          <w:b/>
          <w:i w:val="0"/>
          <w:sz w:val="28"/>
        </w:rPr>
        <w:t>[AUTORIDAD DEMANDADA]</w:t>
      </w:r>
      <w:r>
        <w:rPr>
          <w:rFonts w:ascii="Arial" w:hAnsi="Arial"/>
          <w:b w:val="0"/>
          <w:i w:val="0"/>
          <w:sz w:val="28"/>
        </w:rPr>
        <w:t xml:space="preserve">, mediante el cual se informó a la parte actora la inmovilización de sus cuentas bancarias en </w:t>
      </w:r>
      <w:r>
        <w:rPr>
          <w:rFonts w:ascii="Arial" w:hAnsi="Arial"/>
          <w:b/>
          <w:i w:val="0"/>
          <w:sz w:val="28"/>
        </w:rPr>
        <w:t>[INSTITUCIÓN DE BANCA MÚLTIPLE]</w:t>
      </w:r>
      <w:r>
        <w:rPr>
          <w:rFonts w:ascii="Arial" w:hAnsi="Arial"/>
          <w:b w:val="0"/>
          <w:i w:val="0"/>
          <w:sz w:val="28"/>
        </w:rPr>
        <w:t xml:space="preserve">, en virtud del crédito fiscal derivado de la resolución determinante con número de control </w:t>
      </w:r>
      <w:r>
        <w:rPr>
          <w:rFonts w:ascii="Arial" w:hAnsi="Arial"/>
          <w:b/>
          <w:i w:val="0"/>
          <w:sz w:val="28"/>
        </w:rPr>
        <w:t>[NÚMERO DE CONTROL DEL CRÉDITO FISCAL]</w:t>
      </w:r>
      <w:r>
        <w:rPr>
          <w:rFonts w:ascii="Arial" w:hAnsi="Arial"/>
          <w:b w:val="0"/>
          <w:i w:val="0"/>
          <w:sz w:val="28"/>
        </w:rPr>
        <w:t xml:space="preserve">, de </w:t>
      </w:r>
      <w:r>
        <w:rPr>
          <w:rFonts w:ascii="Arial" w:hAnsi="Arial"/>
          <w:b/>
          <w:i w:val="0"/>
          <w:sz w:val="28"/>
        </w:rPr>
        <w:t>[FECHA DE LA RESOLUCIÓN DETERMINANTE]</w:t>
      </w:r>
      <w:r>
        <w:rPr>
          <w:rFonts w:ascii="Arial" w:hAnsi="Arial"/>
          <w:b w:val="0"/>
          <w:i w:val="0"/>
          <w:sz w:val="28"/>
        </w:rPr>
        <w:t xml:space="preserve">, emitida por la </w:t>
      </w:r>
      <w:r>
        <w:rPr>
          <w:rFonts w:ascii="Arial" w:hAnsi="Arial"/>
          <w:b/>
          <w:i w:val="0"/>
          <w:sz w:val="28"/>
        </w:rPr>
        <w:t>[AUTORIDAD QUE EMITIÓ LA RESOLUCIÓN DETERMINANTE]</w:t>
      </w:r>
      <w:r>
        <w:rPr>
          <w:rFonts w:ascii="Arial" w:hAnsi="Arial"/>
          <w:b w:val="0"/>
          <w:i w:val="0"/>
          <w:sz w:val="28"/>
        </w:rPr>
        <w:t xml:space="preserve">. Dicho oficio se hizo del conocimiento de la parte actora el </w:t>
      </w:r>
      <w:r>
        <w:rPr>
          <w:rFonts w:ascii="Arial" w:hAnsi="Arial"/>
          <w:b/>
          <w:i w:val="0"/>
          <w:sz w:val="28"/>
        </w:rPr>
        <w:t>[FECHA DE NOTIFICACIÓN DEL ACTO IMPUGNADO]</w:t>
      </w:r>
      <w:r>
        <w:rPr>
          <w:rFonts w:ascii="Arial" w:hAnsi="Arial"/>
          <w:b w:val="0"/>
          <w:i w:val="0"/>
          <w:sz w:val="28"/>
        </w:rPr>
        <w:t>.</w:t>
      </w:r>
    </w:p>
    <w:p>
      <w:pPr>
        <w:spacing w:line="360" w:lineRule="auto"/>
        <w:jc w:val="both"/>
      </w:pPr>
      <w:r>
        <w:rPr>
          <w:rFonts w:ascii="Arial" w:hAnsi="Arial"/>
          <w:b w:val="0"/>
          <w:i w:val="0"/>
          <w:sz w:val="28"/>
        </w:rPr>
        <w:t>Las normas cuya inobservancia se plantea son los artículos 144, 145, primer párrafo, y 146 del Código Fiscal de la Federación vigente en el año en que el crédito se volvió exigible, que rigen la suspensión del procedimiento administrativo de ejecución, la exigencia del pago por esa vía y la prescripción; el artículo 16 de la Constitución Política de los Estados Unidos Mexicanos, que sujeta todo acto de molestia al deber de fundar y motivar; y el artículo 51, fracción IV, de la Ley Federal de Procedimiento Contencioso Administrativo, que sanciona el acto dictado sobre hechos apreciados en forma equivocada.</w:t>
      </w:r>
    </w:p>
    <w:p>
      <w:pPr>
        <w:spacing w:line="360" w:lineRule="auto"/>
        <w:jc w:val="both"/>
      </w:pPr>
      <w:r>
        <w:rPr>
          <w:rFonts w:ascii="Arial" w:hAnsi="Arial"/>
          <w:b w:val="0"/>
          <w:i w:val="0"/>
          <w:sz w:val="28"/>
        </w:rPr>
        <w:t>Conviene anticipar aquí la causal de improcedencia que la autoridad recaudadora suele oponer, consistente en que el oficio que informa la inmovilización sería una simple comunicación accesoria y no una resolución definitiva. El planteamiento es infundado: una cosa es la solicitud que la autoridad fiscal dirige a la Comisión Nacional Bancaria y de Valores, que es comunicación entre autoridades, y otra muy distinta el oficio con el que se dan a conocer al particular los motivos y fundamentos de la inmovilización, que sí incide en su esfera jurídica.</w:t>
      </w:r>
    </w:p>
    <w:p>
      <w:pPr>
        <w:spacing w:line="360" w:lineRule="auto"/>
        <w:jc w:val="both"/>
      </w:pPr>
      <w:r>
        <w:rPr>
          <w:rFonts w:ascii="Arial" w:hAnsi="Arial"/>
          <w:b w:val="0"/>
          <w:i w:val="0"/>
          <w:sz w:val="28"/>
        </w:rPr>
        <w:t>En efecto, ese oficio es el acto por el que la persona contribuyente conoce las razones del bloqueo de sus recursos y resiente una afectación de imposible reparación, pues no se le restituye el tiempo en que se le impidió disponer de su dinero ni el perjuicio que ello le causa. Se trata de una resolución definitiva que causa un agravio en materia fiscal distinto de los previstos en las fracciones anteriores, hipótesis que recoge la fracción V del artículo 3 de la Ley Orgánica del Tribunal Federal de Justicia Administrativa, como lo ha reconocido la Sala en casos análogos.</w:t>
      </w:r>
    </w:p>
    <w:p>
      <w:pPr>
        <w:spacing w:line="360" w:lineRule="auto"/>
        <w:jc w:val="both"/>
      </w:pPr>
      <w:r>
        <w:rPr>
          <w:rFonts w:ascii="Arial" w:hAnsi="Arial"/>
          <w:b w:val="0"/>
          <w:i w:val="0"/>
          <w:sz w:val="28"/>
        </w:rPr>
        <w:t xml:space="preserve">El perjuicio es concreto y verificable. Con apoyo en un crédito que la ley tiene por extinguido, la autoridad bloqueó los recursos depositados en las cuentas </w:t>
      </w:r>
      <w:r>
        <w:rPr>
          <w:rFonts w:ascii="Arial" w:hAnsi="Arial"/>
          <w:b/>
          <w:i w:val="0"/>
          <w:sz w:val="28"/>
        </w:rPr>
        <w:t>[NÚMEROS DE LAS CUENTAS BANCARIAS INMOVILIZADAS]</w:t>
      </w:r>
      <w:r>
        <w:rPr>
          <w:rFonts w:ascii="Arial" w:hAnsi="Arial"/>
          <w:b w:val="0"/>
          <w:i w:val="0"/>
          <w:sz w:val="28"/>
        </w:rPr>
        <w:t xml:space="preserve"> e impidió a la parte actora disponer de su patrimonio líquido. De prosperar este concepto, el beneficio es máximo: la nulidad lisa y llana impide cualquier actuación posterior de la autoridad sobre ese crédito y deja sin efecto legal alguno los actos que sean su consecuencia directa, entre ellos la inmovilización misma.</w:t>
      </w:r>
    </w:p>
    <w:p>
      <w:pPr>
        <w:spacing w:line="360" w:lineRule="auto"/>
        <w:jc w:val="both"/>
      </w:pPr>
      <w:r>
        <w:rPr>
          <w:rFonts w:ascii="Arial" w:hAnsi="Arial"/>
          <w:b/>
          <w:sz w:val="28"/>
        </w:rPr>
        <w:t>III. Desarrollo normativo y doctrinal. Premisa mayor.</w:t>
      </w:r>
    </w:p>
    <w:p>
      <w:pPr>
        <w:spacing w:line="360" w:lineRule="auto"/>
        <w:jc w:val="both"/>
      </w:pPr>
      <w:r>
        <w:rPr>
          <w:rFonts w:ascii="Arial" w:hAnsi="Arial"/>
          <w:b w:val="0"/>
          <w:i w:val="0"/>
          <w:sz w:val="28"/>
        </w:rPr>
        <w:t>Conviene partir de la razón de ser de la prescripción. La facultad de cobro del acreedor fiscal no es perpetua: el ordenamiento fija un plazo dentro del cual debe ejercerse y, vencido éste, la situación del deudor se consolida. La doctrina explica que las relaciones o situaciones jurídicas consolidadas por prescripción o por caducidad encuentran su fundamento en el principio de seguridad jurídica, de modo que la extinción por el transcurso del tiempo no es un tecnicismo sino la protección de una expectativa legítima.</w:t>
      </w:r>
      <w:r>
        <w:rPr>
          <w:rFonts w:ascii="Arial" w:hAnsi="Arial"/>
          <w:vertAlign w:val="superscript"/>
        </w:rPr>
        <w:t>1</w:t>
      </w:r>
    </w:p>
    <w:p>
      <w:pPr>
        <w:spacing w:line="360" w:lineRule="auto"/>
        <w:jc w:val="both"/>
      </w:pPr>
      <w:r>
        <w:rPr>
          <w:rFonts w:ascii="Arial" w:hAnsi="Arial"/>
          <w:b w:val="0"/>
          <w:i w:val="0"/>
          <w:sz w:val="28"/>
        </w:rPr>
        <w:t xml:space="preserve">El artículo 146 del Código Fiscal de la Federación traduce ese principio en una regla precisa. Su primer párrafo dispone que </w:t>
      </w:r>
      <w:r>
        <w:rPr>
          <w:rFonts w:ascii="Arial" w:hAnsi="Arial"/>
          <w:b w:val="0"/>
          <w:i/>
          <w:sz w:val="28"/>
        </w:rPr>
        <w:t>“el crédito fiscal se extingue por prescripción en el término de cinco años”</w:t>
      </w:r>
      <w:r>
        <w:rPr>
          <w:rFonts w:ascii="Arial" w:hAnsi="Arial"/>
          <w:b w:val="0"/>
          <w:i w:val="0"/>
          <w:sz w:val="28"/>
        </w:rPr>
        <w:t xml:space="preserve">. El segundo párrafo fija el punto de partida del cómputo, </w:t>
      </w:r>
      <w:r>
        <w:rPr>
          <w:rFonts w:ascii="Arial" w:hAnsi="Arial"/>
          <w:b w:val="0"/>
          <w:i/>
          <w:sz w:val="28"/>
        </w:rPr>
        <w:t>“a partir de la fecha en que el pago pudo ser legalmente exigido”</w:t>
      </w:r>
      <w:r>
        <w:rPr>
          <w:rFonts w:ascii="Arial" w:hAnsi="Arial"/>
          <w:b w:val="0"/>
          <w:i w:val="0"/>
          <w:sz w:val="28"/>
        </w:rPr>
        <w:t xml:space="preserve">, y autoriza expresamente a oponer la prescripción </w:t>
      </w:r>
      <w:r>
        <w:rPr>
          <w:rFonts w:ascii="Arial" w:hAnsi="Arial"/>
          <w:b w:val="0"/>
          <w:i/>
          <w:sz w:val="28"/>
        </w:rPr>
        <w:t>“como excepción en los recursos administrativos o a través del juicio contencioso administrativo”</w:t>
      </w:r>
      <w:r>
        <w:rPr>
          <w:rFonts w:ascii="Arial" w:hAnsi="Arial"/>
          <w:b w:val="0"/>
          <w:i w:val="0"/>
          <w:sz w:val="28"/>
        </w:rPr>
        <w:t>, que es lo que se hace en este concepto.</w:t>
      </w:r>
    </w:p>
    <w:p>
      <w:pPr>
        <w:spacing w:line="360" w:lineRule="auto"/>
        <w:jc w:val="both"/>
      </w:pPr>
      <w:r>
        <w:rPr>
          <w:rFonts w:ascii="Arial" w:hAnsi="Arial"/>
          <w:b w:val="0"/>
          <w:i w:val="0"/>
          <w:sz w:val="28"/>
        </w:rPr>
        <w:t>El momento de la exigibilidad no es el de la comisión de la conducta sancionada ni el de la expedición de la boleta o resolución determinante, sino aquel en que la autoridad estuvo en aptitud legal de exigir el pago, como lo ha sostenido la Sala en casos análogos.</w:t>
      </w:r>
    </w:p>
    <w:p>
      <w:pPr>
        <w:spacing w:line="360" w:lineRule="auto"/>
        <w:jc w:val="both"/>
      </w:pPr>
      <w:r>
        <w:rPr>
          <w:rFonts w:ascii="Arial" w:hAnsi="Arial"/>
          <w:b w:val="0"/>
          <w:i w:val="0"/>
          <w:sz w:val="28"/>
        </w:rPr>
        <w:t>Ello se desprende del artículo 144 del Código Fiscal de la Federación, conforme al cual el acto que determina un crédito fiscal no se ejecuta sino hasta que vence el plazo de treinta días siguientes a la fecha en que surta efectos su notificación, y del artículo 145, primer párrafo, del mismo Código, que faculta a exigir el pago mediante el procedimiento administrativo de ejecución sólo respecto de créditos no cubiertos ni garantizados dentro de los plazos legales.</w:t>
      </w:r>
    </w:p>
    <w:p>
      <w:pPr>
        <w:spacing w:line="360" w:lineRule="auto"/>
        <w:jc w:val="both"/>
      </w:pPr>
      <w:r>
        <w:rPr>
          <w:rFonts w:ascii="Arial" w:hAnsi="Arial"/>
          <w:b w:val="0"/>
          <w:i w:val="0"/>
          <w:sz w:val="28"/>
        </w:rPr>
        <w:t xml:space="preserve">El propio artículo 146 señala, además, las dos únicas maneras de detener el cómputo. La primera es la interrupción, que se produce </w:t>
      </w:r>
      <w:r>
        <w:rPr>
          <w:rFonts w:ascii="Arial" w:hAnsi="Arial"/>
          <w:b w:val="0"/>
          <w:i/>
          <w:sz w:val="28"/>
        </w:rPr>
        <w:t>“con cada gestión de cobro que el acreedor notifique o haga saber al deudor o por el reconocimiento expreso o tácito de éste respecto de la existencia del crédito”</w:t>
      </w:r>
      <w:r>
        <w:rPr>
          <w:rFonts w:ascii="Arial" w:hAnsi="Arial"/>
          <w:b w:val="0"/>
          <w:i w:val="0"/>
          <w:sz w:val="28"/>
        </w:rPr>
        <w:t xml:space="preserve">, y el precepto define qué debe entenderse por gestión de cobro: </w:t>
      </w:r>
      <w:r>
        <w:rPr>
          <w:rFonts w:ascii="Arial" w:hAnsi="Arial"/>
          <w:b w:val="0"/>
          <w:i/>
          <w:sz w:val="28"/>
        </w:rPr>
        <w:t>“cualquier actuación de la autoridad dentro del procedimiento administrativo de ejecución, siempre que se haga del conocimiento del deudor”</w:t>
      </w:r>
      <w:r>
        <w:rPr>
          <w:rFonts w:ascii="Arial" w:hAnsi="Arial"/>
          <w:b w:val="0"/>
          <w:i w:val="0"/>
          <w:sz w:val="28"/>
        </w:rPr>
        <w:t>. La condición no es accesoria; es el núcleo de la figura.</w:t>
      </w:r>
    </w:p>
    <w:p>
      <w:pPr>
        <w:spacing w:line="360" w:lineRule="auto"/>
        <w:jc w:val="both"/>
      </w:pPr>
      <w:r>
        <w:rPr>
          <w:rFonts w:ascii="Arial" w:hAnsi="Arial"/>
          <w:b w:val="0"/>
          <w:i w:val="0"/>
          <w:sz w:val="28"/>
        </w:rPr>
        <w:t>La segunda es la suspensión, que opera cuando se suspende el procedimiento administrativo de ejecución en los términos del artículo 144 del propio Código y cuando el contribuyente hubiere desocupado su domicilio fiscal sin presentar el aviso de cambio o hubiere señalado de manera incorrecta ese domicilio.</w:t>
      </w:r>
    </w:p>
    <w:p>
      <w:pPr>
        <w:spacing w:line="360" w:lineRule="auto"/>
        <w:jc w:val="both"/>
      </w:pPr>
      <w:r>
        <w:rPr>
          <w:rFonts w:ascii="Arial" w:hAnsi="Arial"/>
          <w:b w:val="0"/>
          <w:i w:val="0"/>
          <w:sz w:val="28"/>
        </w:rPr>
        <w:t>Ambas figuras difieren en sus efectos: la interrupción inutiliza el plazo transcurrido y obliga a contar de nuevo desde cero, mientras que la suspensión únicamente paraliza el cómputo para que después continúe. El propio precepto añade un tope: la prescripción no puede exceder de diez años contados desde que el crédito pudo ser legalmente exigido.</w:t>
      </w:r>
    </w:p>
    <w:p>
      <w:pPr>
        <w:spacing w:line="360" w:lineRule="auto"/>
        <w:jc w:val="both"/>
      </w:pPr>
      <w:r>
        <w:rPr>
          <w:rFonts w:ascii="Arial" w:hAnsi="Arial"/>
          <w:b w:val="0"/>
          <w:i w:val="0"/>
          <w:sz w:val="28"/>
        </w:rPr>
        <w:t>De esta arquitectura normativa se sigue una consecuencia procesal decisiva. Si el plazo corre por ministerio de ley desde la exigibilidad, quien pretenda que no corrió, o que corrió menos tiempo del que la simple aritmética arroja, está invocando una excepción y debe acreditar el hecho que la constituye. Así lo impone el artículo 81 del Código Federal de Procedimientos Civiles, de aplicación supletoria al juicio contencioso administrativo, y así lo confirma la teoría general de la prueba, que fija el onus probandi sobre el supuesto de hecho de una norma a cargo de quien la invoca en su beneficio.</w:t>
      </w:r>
      <w:r>
        <w:rPr>
          <w:rFonts w:ascii="Arial" w:hAnsi="Arial"/>
          <w:vertAlign w:val="superscript"/>
        </w:rPr>
        <w:t>2</w:t>
      </w:r>
    </w:p>
    <w:p>
      <w:pPr>
        <w:spacing w:line="360" w:lineRule="auto"/>
        <w:jc w:val="both"/>
      </w:pPr>
      <w:r>
        <w:rPr>
          <w:rFonts w:ascii="Arial" w:hAnsi="Arial"/>
          <w:b w:val="0"/>
          <w:i w:val="0"/>
          <w:sz w:val="28"/>
        </w:rPr>
        <w:t>La regla se refuerza si se atiende a lo que significa motivar. Un acto de autoridad está debidamente motivado cuando expresa las razones de derecho y los motivos de hecho considerados para su dictado, y esos motivos deben ser reales, ciertos e investidos de la fuerza legal suficiente para provocar el acto.</w:t>
      </w:r>
      <w:r>
        <w:rPr>
          <w:rFonts w:ascii="Arial" w:hAnsi="Arial"/>
          <w:vertAlign w:val="superscript"/>
        </w:rPr>
        <w:t>3</w:t>
      </w:r>
      <w:r>
        <w:rPr>
          <w:rFonts w:ascii="Arial" w:hAnsi="Arial"/>
          <w:b w:val="0"/>
          <w:i w:val="0"/>
          <w:sz w:val="28"/>
        </w:rPr>
        <w:t xml:space="preserve"> Una gestión de cobro que sólo existe en el escrito de contestación, sin constancia que la respalde, no es un motivo real ni cierto: es un enunciado sin prueba, incapaz de sostener la exigencia de pago.</w:t>
      </w:r>
    </w:p>
    <w:p>
      <w:pPr>
        <w:spacing w:line="360" w:lineRule="auto"/>
        <w:jc w:val="both"/>
      </w:pPr>
      <w:r>
        <w:rPr>
          <w:rFonts w:ascii="Arial" w:hAnsi="Arial"/>
          <w:b w:val="0"/>
          <w:i w:val="0"/>
          <w:sz w:val="28"/>
        </w:rPr>
        <w:t>Cierra el sistema el artículo 51, fracción IV, de la Ley Federal de Procedimiento Contencioso Administrativo, que declara ilegal la resolución cuando los hechos que la motivaron se apreciaron en forma equivocada. Exigir el pago de un crédito prescrito es, exactamente, apreciar mal los hechos: la autoridad tuvo por vivo un crédito que la ley tiene por extinguido. Y como el vicio es de fondo y no de forma, la consecuencia es la nulidad lisa y llana prevista en el artículo 52, fracción II, del mismo ordenamiento, que impide cualquier actuación posterior sobre ese crédito.</w:t>
      </w:r>
    </w:p>
    <w:p>
      <w:pPr>
        <w:spacing w:line="360" w:lineRule="auto"/>
        <w:jc w:val="both"/>
      </w:pPr>
      <w:r>
        <w:rPr>
          <w:rFonts w:ascii="Arial" w:hAnsi="Arial"/>
          <w:b/>
          <w:sz w:val="28"/>
        </w:rPr>
        <w:t>IV. Aplicación al caso concreto y refutación de la defensa de la autoridad.</w:t>
      </w:r>
    </w:p>
    <w:p>
      <w:pPr>
        <w:spacing w:line="360" w:lineRule="auto"/>
        <w:jc w:val="both"/>
      </w:pPr>
      <w:r>
        <w:rPr>
          <w:rFonts w:ascii="Arial" w:hAnsi="Arial"/>
          <w:b w:val="0"/>
          <w:i w:val="0"/>
          <w:sz w:val="28"/>
        </w:rPr>
        <w:t xml:space="preserve">Los hechos del expediente encuadran sin esfuerzo en la premisa anterior. La resolución determinante con número de control </w:t>
      </w:r>
      <w:r>
        <w:rPr>
          <w:rFonts w:ascii="Arial" w:hAnsi="Arial"/>
          <w:b/>
          <w:i w:val="0"/>
          <w:sz w:val="28"/>
        </w:rPr>
        <w:t>[NÚMERO DE CONTROL DEL CRÉDITO FISCAL]</w:t>
      </w:r>
      <w:r>
        <w:rPr>
          <w:rFonts w:ascii="Arial" w:hAnsi="Arial"/>
          <w:b w:val="0"/>
          <w:i w:val="0"/>
          <w:sz w:val="28"/>
        </w:rPr>
        <w:t xml:space="preserve">, de </w:t>
      </w:r>
      <w:r>
        <w:rPr>
          <w:rFonts w:ascii="Arial" w:hAnsi="Arial"/>
          <w:b/>
          <w:i w:val="0"/>
          <w:sz w:val="28"/>
        </w:rPr>
        <w:t>[FECHA DE LA RESOLUCIÓN DETERMINANTE]</w:t>
      </w:r>
      <w:r>
        <w:rPr>
          <w:rFonts w:ascii="Arial" w:hAnsi="Arial"/>
          <w:b w:val="0"/>
          <w:i w:val="0"/>
          <w:sz w:val="28"/>
        </w:rPr>
        <w:t xml:space="preserve">, se notificó a la parte actora y esa notificación surtió efectos el </w:t>
      </w:r>
      <w:r>
        <w:rPr>
          <w:rFonts w:ascii="Arial" w:hAnsi="Arial"/>
          <w:b/>
          <w:i w:val="0"/>
          <w:sz w:val="28"/>
        </w:rPr>
        <w:t>[FECHA EN QUE SURTIÓ EFECTOS LA NOTIFICACIÓN DE LA DETERMINANTE]</w:t>
      </w:r>
      <w:r>
        <w:rPr>
          <w:rFonts w:ascii="Arial" w:hAnsi="Arial"/>
          <w:b w:val="0"/>
          <w:i w:val="0"/>
          <w:sz w:val="28"/>
        </w:rPr>
        <w:t xml:space="preserve">; transcurrido el plazo de treinta días que el artículo 144 del Código Fiscal de la Federación concede antes de la ejecución, el crédito se volvió legalmente exigible el </w:t>
      </w:r>
      <w:r>
        <w:rPr>
          <w:rFonts w:ascii="Arial" w:hAnsi="Arial"/>
          <w:b/>
          <w:i w:val="0"/>
          <w:sz w:val="28"/>
        </w:rPr>
        <w:t>[FECHA DE EXIGIBILIDAD DEL CRÉDITO]</w:t>
      </w:r>
      <w:r>
        <w:rPr>
          <w:rFonts w:ascii="Arial" w:hAnsi="Arial"/>
          <w:b w:val="0"/>
          <w:i w:val="0"/>
          <w:sz w:val="28"/>
        </w:rPr>
        <w:t>, fecha en la que arrancó el cómputo de la prescripción.</w:t>
      </w:r>
    </w:p>
    <w:p>
      <w:pPr>
        <w:spacing w:line="360" w:lineRule="auto"/>
        <w:jc w:val="both"/>
      </w:pPr>
      <w:r>
        <w:rPr>
          <w:rFonts w:ascii="Arial" w:hAnsi="Arial"/>
          <w:b w:val="0"/>
          <w:i w:val="0"/>
          <w:sz w:val="28"/>
        </w:rPr>
        <w:t xml:space="preserve">A partir de ahí, y hasta el </w:t>
      </w:r>
      <w:r>
        <w:rPr>
          <w:rFonts w:ascii="Arial" w:hAnsi="Arial"/>
          <w:b/>
          <w:i w:val="0"/>
          <w:sz w:val="28"/>
        </w:rPr>
        <w:t>[FECHA DE NOTIFICACIÓN DEL ACTO IMPUGNADO]</w:t>
      </w:r>
      <w:r>
        <w:rPr>
          <w:rFonts w:ascii="Arial" w:hAnsi="Arial"/>
          <w:b w:val="0"/>
          <w:i w:val="0"/>
          <w:sz w:val="28"/>
        </w:rPr>
        <w:t xml:space="preserve">, en que se hizo del conocimiento de la parte actora el oficio impugnado, transcurrieron </w:t>
      </w:r>
      <w:r>
        <w:rPr>
          <w:rFonts w:ascii="Arial" w:hAnsi="Arial"/>
          <w:b/>
          <w:i w:val="0"/>
          <w:sz w:val="28"/>
        </w:rPr>
        <w:t>[TIEMPO TRANSCURRIDO EN AÑOS, MESES Y DÍAS]</w:t>
      </w:r>
      <w:r>
        <w:rPr>
          <w:rFonts w:ascii="Arial" w:hAnsi="Arial"/>
          <w:b w:val="0"/>
          <w:i w:val="0"/>
          <w:sz w:val="28"/>
        </w:rPr>
        <w:t>. En todo ese lapso no existe en el expediente administrativo una sola constancia de la que se advierta que la autoridad practicó dentro del procedimiento administrativo de ejecución una actuación notificada o hecha saber a la parte actora, ni que ésta reconociera el adeudo de manera expresa o tácita. La prescripción, por tanto, se consumó con holgura.</w:t>
      </w:r>
    </w:p>
    <w:p>
      <w:pPr>
        <w:spacing w:line="360" w:lineRule="auto"/>
        <w:jc w:val="both"/>
      </w:pPr>
      <w:r>
        <w:rPr>
          <w:rFonts w:ascii="Arial" w:hAnsi="Arial"/>
          <w:b w:val="0"/>
          <w:i w:val="0"/>
          <w:sz w:val="28"/>
        </w:rPr>
        <w:t>Desde ahora se niega lisa y llanamente que la parte actora haya tenido conocimiento de gestión de cobro alguna respecto de este crédito, así como que haya reconocido su existencia por cualquier medio, y se niega igualmente haber desocupado el domicilio fiscal sin presentar el aviso correspondiente o haberlo señalado de manera incorrecta. Con esa negativa, corresponde a la autoridad demandada acreditar, con las constancias respectivas, los hechos en que pretenda apoyar la interrupción o la suspensión del plazo.</w:t>
      </w:r>
    </w:p>
    <w:p>
      <w:pPr>
        <w:spacing w:line="360" w:lineRule="auto"/>
        <w:jc w:val="both"/>
      </w:pPr>
      <w:r>
        <w:rPr>
          <w:rFonts w:ascii="Arial" w:hAnsi="Arial"/>
          <w:b w:val="0"/>
          <w:i w:val="0"/>
          <w:sz w:val="28"/>
        </w:rPr>
        <w:t>Es previsible que la demandada afirme en su contestación que emitió mandamientos de ejecución, que practicó diligencias o que levantó actas de no localización en fechas anteriores. Si lo hace sin exhibir las constancias correspondientes, incurrirá en la falacia de eludir la carga de la prueba, que consiste en no aportar razones que fundamenten la conclusión o en pretender que las aporte el oponente.</w:t>
      </w:r>
      <w:r>
        <w:rPr>
          <w:rFonts w:ascii="Arial" w:hAnsi="Arial"/>
          <w:vertAlign w:val="superscript"/>
        </w:rPr>
        <w:t>4</w:t>
      </w:r>
      <w:r>
        <w:rPr>
          <w:rFonts w:ascii="Arial" w:hAnsi="Arial"/>
          <w:b w:val="0"/>
          <w:i w:val="0"/>
          <w:sz w:val="28"/>
        </w:rPr>
        <w:t xml:space="preserve"> La afirmación de que existió una gestión de cobro es, en el debate procesal, la conclusión que debe probarse; ofrecerla como si fuera su propia prueba no es argumentar.</w:t>
      </w:r>
    </w:p>
    <w:p>
      <w:pPr>
        <w:spacing w:line="360" w:lineRule="auto"/>
        <w:jc w:val="both"/>
      </w:pPr>
      <w:r>
        <w:rPr>
          <w:rFonts w:ascii="Arial" w:hAnsi="Arial"/>
          <w:b w:val="0"/>
          <w:i w:val="0"/>
          <w:sz w:val="28"/>
        </w:rPr>
        <w:t>El razonamiento es además inválido por una segunda razón. Sostener que el crédito subsiste porque la parte actora no desvirtuó unas actuaciones que nunca se exhibieron equivale a la falacia ad ignorantiam, que se comete cuando se sostiene que una proposición es verdadera simplemente sobre la base de que no se ha demostrado su falsedad.</w:t>
      </w:r>
      <w:r>
        <w:rPr>
          <w:rFonts w:ascii="Arial" w:hAnsi="Arial"/>
          <w:vertAlign w:val="superscript"/>
        </w:rPr>
        <w:t>5</w:t>
      </w:r>
      <w:r>
        <w:rPr>
          <w:rFonts w:ascii="Arial" w:hAnsi="Arial"/>
          <w:b w:val="0"/>
          <w:i w:val="0"/>
          <w:sz w:val="28"/>
        </w:rPr>
        <w:t xml:space="preserve"> Nadie puede desvirtuar un documento que no obra en autos; convertir esa imposibilidad material en prueba a favor de quien debía aportarlo invierte la carga probatoria y premia la omisión de la autoridad.</w:t>
      </w:r>
    </w:p>
    <w:p>
      <w:pPr>
        <w:spacing w:line="360" w:lineRule="auto"/>
        <w:jc w:val="both"/>
      </w:pPr>
      <w:r>
        <w:rPr>
          <w:rFonts w:ascii="Arial" w:hAnsi="Arial"/>
          <w:b w:val="0"/>
          <w:i w:val="0"/>
          <w:sz w:val="28"/>
        </w:rPr>
        <w:t>Tampoco sirve invocar sin más la presunción de legalidad que el artículo 42 de la Ley Federal de Procedimiento Contencioso Administrativo reconoce a los actos administrativos. Esa presunción recae sobre el acto impugnado, no sobre los hechos que la autoridad alega en su defensa y no acredita; usarla para tener por cierta la existencia misma de la gestión de cobro sería una petición de principio, esto es, demostrar por sí mismo lo que no está claro ni es conocido por sí mismo, que es tanto como no demostrar.</w:t>
      </w:r>
      <w:r>
        <w:rPr>
          <w:rFonts w:ascii="Arial" w:hAnsi="Arial"/>
          <w:vertAlign w:val="superscript"/>
        </w:rPr>
        <w:t>6</w:t>
      </w:r>
    </w:p>
    <w:p>
      <w:pPr>
        <w:spacing w:line="360" w:lineRule="auto"/>
        <w:jc w:val="both"/>
      </w:pPr>
      <w:r>
        <w:rPr>
          <w:rFonts w:ascii="Arial" w:hAnsi="Arial"/>
          <w:b w:val="0"/>
          <w:i w:val="0"/>
          <w:sz w:val="28"/>
        </w:rPr>
        <w:t>Conviene precisar el alcance de lo que se pide. No se solicita que se tenga por inexistente la resolución determinante, ni que se juzgue de nuevo la infracción que le dio origen; se pide que se reconozca que la facultad de cobro se extinguió por el paso del tiempo y que, en consecuencia, la exigencia de pago contenida en el acto impugnado carece de sustento. La distinción importa porque delimita la litis y evita que la demandada desvíe el debate hacia la validez de la sanción originaria, cuestión ajena a este concepto.</w:t>
      </w:r>
    </w:p>
    <w:p>
      <w:pPr>
        <w:spacing w:line="360" w:lineRule="auto"/>
        <w:jc w:val="both"/>
      </w:pPr>
      <w:r>
        <w:rPr>
          <w:rFonts w:ascii="Arial" w:hAnsi="Arial"/>
          <w:b w:val="0"/>
          <w:i w:val="0"/>
          <w:sz w:val="28"/>
        </w:rPr>
        <w:t>Finalmente, se hace reserva expresa de ampliar la demanda si al contestar la autoridad exhibe por primera vez constancias de gestiones de cobro, actas de no localización o razones de notificación por estrados que no obraban en el expediente administrativo, ya que en ese supuesto se actualizan los casos de ampliación previstos en el artículo 17 de la Ley Federal de Procedimiento Contencioso Administrativo. La reserva no es retórica: si esas constancias no se controvierten en la ampliación, quedan firmes por su sola presunción de legalidad y el argumento de prescripción se derrumba.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En suma: el crédito fiscal se extingue por prescripción a los cinco años contados desde que el pago pudo ser legalmente exigido; ese plazo sólo se interrumpe con gestión de cobro notificada o hecha saber al deudor, o con el reconocimiento de éste, y sólo se suspende en los supuestos que el artículo 146 del Código Fiscal de la Federación enumera; en el caso transcurrieron </w:t>
      </w:r>
      <w:r>
        <w:rPr>
          <w:rFonts w:ascii="Arial" w:hAnsi="Arial"/>
          <w:b/>
          <w:i w:val="0"/>
          <w:sz w:val="28"/>
        </w:rPr>
        <w:t>[TIEMPO TRANSCURRIDO EN AÑOS, MESES Y DÍAS]</w:t>
      </w:r>
      <w:r>
        <w:rPr>
          <w:rFonts w:ascii="Arial" w:hAnsi="Arial"/>
          <w:b w:val="0"/>
          <w:i w:val="0"/>
          <w:sz w:val="28"/>
        </w:rPr>
        <w:t xml:space="preserve"> sin actuación alguna notificada; y la autoridad, que es quien invoca la interrupción o la suspensión, no exhibió constancia que las acredite.</w:t>
      </w:r>
    </w:p>
    <w:p>
      <w:pPr>
        <w:spacing w:line="360" w:lineRule="auto"/>
        <w:jc w:val="both"/>
      </w:pPr>
      <w:r>
        <w:rPr>
          <w:rFonts w:ascii="Arial" w:hAnsi="Arial"/>
          <w:b w:val="0"/>
          <w:i w:val="0"/>
          <w:sz w:val="28"/>
        </w:rPr>
        <w:t xml:space="preserve">Por lo expuesto, procede declarar fundado el presente concepto de impugnación y, con fundamento en los artículos 51, fracción IV, y 52, fracción II, de la Ley Federal de Procedimiento Contencioso Administrativo, declarar la prescripción del crédito fiscal con número de control </w:t>
      </w:r>
      <w:r>
        <w:rPr>
          <w:rFonts w:ascii="Arial" w:hAnsi="Arial"/>
          <w:b/>
          <w:i w:val="0"/>
          <w:sz w:val="28"/>
        </w:rPr>
        <w:t>[NÚMERO DE CONTROL DEL CRÉDITO FISCAL]</w:t>
      </w:r>
      <w:r>
        <w:rPr>
          <w:rFonts w:ascii="Arial" w:hAnsi="Arial"/>
          <w:b w:val="0"/>
          <w:i w:val="0"/>
          <w:sz w:val="28"/>
        </w:rPr>
        <w:t xml:space="preserve"> y la nulidad lisa y llana del oficio </w:t>
      </w:r>
      <w:r>
        <w:rPr>
          <w:rFonts w:ascii="Arial" w:hAnsi="Arial"/>
          <w:b/>
          <w:i w:val="0"/>
          <w:sz w:val="28"/>
        </w:rPr>
        <w:t>[NÚMERO Y FECHA DEL OFICIO IMPUGNADO]</w:t>
      </w:r>
      <w:r>
        <w:rPr>
          <w:rFonts w:ascii="Arial" w:hAnsi="Arial"/>
          <w:b w:val="0"/>
          <w:i w:val="0"/>
          <w:sz w:val="28"/>
        </w:rPr>
        <w:t xml:space="preserve"> en cuanto al requerimiento de pago de ese crédito, precisando que ningún acto que sea su consecuencia directa podrá surtir efecto legal alguno.</w:t>
      </w:r>
    </w:p>
    <w:p>
      <w:pPr>
        <w:spacing w:line="360" w:lineRule="auto"/>
        <w:jc w:val="both"/>
      </w:pPr>
      <w:r>
        <w:rPr>
          <w:rFonts w:ascii="Arial" w:hAnsi="Arial"/>
          <w:b w:val="0"/>
          <w:i w:val="0"/>
          <w:sz w:val="28"/>
        </w:rPr>
        <w:t xml:space="preserve">Se pide a esa </w:t>
      </w:r>
      <w:r>
        <w:rPr>
          <w:rFonts w:ascii="Arial" w:hAnsi="Arial"/>
          <w:b/>
          <w:i w:val="0"/>
          <w:sz w:val="28"/>
        </w:rPr>
        <w:t>[SALA REGIONAL COMPETENTE]</w:t>
      </w:r>
      <w:r>
        <w:rPr>
          <w:rFonts w:ascii="Arial" w:hAnsi="Arial"/>
          <w:b w:val="0"/>
          <w:i w:val="0"/>
          <w:sz w:val="28"/>
        </w:rPr>
        <w:t xml:space="preserve"> el estudio preferente de este concepto, pues su acogimiento otorga a la parte actora el mayor beneficio posible, al extinguir de raíz la deuda que sirvió de pretexto para el bloqueo de sus recursos y al impedir que la autoridad ejecutora vuelva a actuar sobre ella; en su caso, se solicita también que se ordene la desinmovilización de las cuentas y la restitución de las cantidades cargadas con motivo de ese crédito.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271.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BARRANCO DE BUSANICHE, Graciela; SUÁREZ, Eloy Emiliano (comp.), </w:t>
      </w:r>
      <w:r>
        <w:rPr>
          <w:rFonts w:ascii="Arial" w:hAnsi="Arial"/>
          <w:i/>
          <w:sz w:val="20"/>
        </w:rPr>
        <w:t>Argumentación jurídica y constitucionalismo</w:t>
      </w:r>
      <w:r>
        <w:rPr>
          <w:rFonts w:ascii="Arial" w:hAnsi="Arial"/>
          <w:i w:val="0"/>
          <w:sz w:val="20"/>
        </w:rPr>
        <w:t>, UNL, Santa Fe, 2020, p. 34.</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179.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38.</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75.</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
      <w:r>
        <w:rPr>
          <w:rFonts w:ascii="Arial" w:hAnsi="Arial"/>
          <w:b/>
          <w:sz w:val="22"/>
        </w:rPr>
        <w:t>BIBLIOGRAFÍA</w:t>
      </w:r>
    </w:p>
    <w:p>
      <w:pPr>
        <w:spacing w:after="60"/>
        <w:ind w:left="360" w:hanging="360"/>
        <w:jc w:val="both"/>
      </w:pPr>
      <w:r>
        <w:rPr>
          <w:rFonts w:ascii="Arial" w:hAnsi="Arial"/>
          <w:i w:val="0"/>
          <w:sz w:val="20"/>
        </w:rPr>
        <w:t xml:space="preserve">BARRANCO DE BUSANICHE, Graciela; SUÁREZ, Eloy Emiliano (comp.), </w:t>
      </w:r>
      <w:r>
        <w:rPr>
          <w:rFonts w:ascii="Arial" w:hAnsi="Arial"/>
          <w:i/>
          <w:sz w:val="20"/>
        </w:rPr>
        <w:t>Argumentación jurídica y constitucionalismo</w:t>
      </w:r>
      <w:r>
        <w:rPr>
          <w:rFonts w:ascii="Arial" w:hAnsi="Arial"/>
          <w:i w:val="0"/>
          <w:sz w:val="20"/>
        </w:rPr>
        <w:t>, UNL, Santa Fe, 2020.</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