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NEGATIVA FICTA E INCREMENTOS DEL ARTÍCULO 57 DE LA LEY DEL ISSSTE DE 1983 (PENSIONES OTORGADAS ENTRE 2002 Y 2007)</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Lo primero es confirmar, con la concesión de pensión, la fecha de inicio del derecho: este concepto sólo sirve para pensiones de la Ley del ISSSTE de 1983 cuyo derecho nació entre el 1 de enero de 2002 y el 31 de marzo de 2007.</w:t>
      </w:r>
    </w:p>
    <w:p>
      <w:pPr>
        <w:spacing w:line="360" w:lineRule="auto"/>
        <w:jc w:val="both"/>
      </w:pPr>
      <w:r>
        <w:rPr>
          <w:rFonts w:ascii="Arial" w:hAnsi="Arial"/>
          <w:b w:val="0"/>
          <w:i w:val="0"/>
          <w:sz w:val="24"/>
        </w:rPr>
        <w:t>Verifica que presentaste por escrito la solicitud de recálculo, que conservas copia con el sello de recepción (la exige el artículo 15, fracción IV, de la Ley Federal de Procedimiento Contencioso Administrativo) y que transcurrió el plazo para resolver del artículo 17 de la Ley Federal de Procedimiento Administrativo sin que te notificaran respuesta. Reúne también la credencial de pensionado y los comprobantes de pago.</w:t>
      </w:r>
    </w:p>
    <w:p>
      <w:pPr>
        <w:spacing w:line="360" w:lineRule="auto"/>
        <w:jc w:val="both"/>
      </w:pPr>
      <w:r>
        <w:rPr>
          <w:rFonts w:ascii="Arial" w:hAnsi="Arial"/>
          <w:b w:val="0"/>
          <w:i w:val="0"/>
          <w:sz w:val="24"/>
        </w:rPr>
        <w:t>Llena los campos editables y cuida que la negativa de los incrementos quede pura: no afirmes qué índice o procedimiento usó el Instituto, porque una negativa que implica la afirmación de otro hecho puede devolverte la carga de la prueba. Conserva el párrafo de reserva de ampliación.</w:t>
      </w:r>
    </w:p>
    <w:p>
      <w:pPr>
        <w:spacing w:line="360" w:lineRule="auto"/>
        <w:jc w:val="both"/>
      </w:pPr>
      <w:r>
        <w:rPr>
          <w:rFonts w:ascii="Arial" w:hAnsi="Arial"/>
          <w:b w:val="0"/>
          <w:i w:val="0"/>
          <w:sz w:val="24"/>
        </w:rPr>
        <w:t>Cuando la autoridad conteste, revisa si expuso y acreditó sus cálculos; si lo hizo, rebátelos en la ampliación prevista en el artículo 17, fracción I, de la ley procesal, dentro del plazo que marca ese precepto. Si en lugar del silencio llega una resolución expresa, impúgnala a ella: la demanda se presenta dentro de los treinta días siguientes a que surta efectos su notificación (artículo 13, fracción I, de la misma ley).</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[AUTORIDAD DEMANDADA]</w:t>
      </w:r>
      <w:r>
        <w:rPr>
          <w:rFonts w:ascii="Arial" w:hAnsi="Arial"/>
          <w:b w:val="0"/>
          <w:i w:val="0"/>
          <w:sz w:val="24"/>
        </w:rPr>
        <w:t>: la unidad del ISSSTE a la que dirigiste la solicitud, con la denominación que aparece en tu acuse; si varía entre documentos, usa la del acuse.</w:t>
      </w:r>
    </w:p>
    <w:p>
      <w:pPr>
        <w:spacing w:line="360" w:lineRule="auto"/>
        <w:jc w:val="both"/>
      </w:pPr>
      <w:r>
        <w:rPr>
          <w:rFonts w:ascii="Arial" w:hAnsi="Arial"/>
          <w:b/>
          <w:i w:val="0"/>
          <w:sz w:val="24"/>
        </w:rPr>
        <w:t>[NOMBRE DE LA PARTE ACTORA]</w:t>
      </w:r>
      <w:r>
        <w:rPr>
          <w:rFonts w:ascii="Arial" w:hAnsi="Arial"/>
          <w:b w:val="0"/>
          <w:i w:val="0"/>
          <w:sz w:val="24"/>
        </w:rPr>
        <w:t>: el nombre completo de la persona pensionada.</w:t>
      </w:r>
    </w:p>
    <w:p>
      <w:pPr>
        <w:spacing w:line="360" w:lineRule="auto"/>
        <w:jc w:val="both"/>
      </w:pPr>
      <w:r>
        <w:rPr>
          <w:rFonts w:ascii="Arial" w:hAnsi="Arial"/>
          <w:b/>
          <w:i w:val="0"/>
          <w:sz w:val="24"/>
        </w:rPr>
        <w:t>[FECHA DE PRESENTACIÓN DE LA SOLICITUD]</w:t>
      </w:r>
      <w:r>
        <w:rPr>
          <w:rFonts w:ascii="Arial" w:hAnsi="Arial"/>
          <w:b w:val="0"/>
          <w:i w:val="0"/>
          <w:sz w:val="24"/>
        </w:rPr>
        <w:t>: la fecha del sello de recepción o del acuse postal de tu escrito de recálculo.</w:t>
      </w:r>
    </w:p>
    <w:p>
      <w:pPr>
        <w:spacing w:line="360" w:lineRule="auto"/>
        <w:jc w:val="both"/>
      </w:pPr>
      <w:r>
        <w:rPr>
          <w:rFonts w:ascii="Arial" w:hAnsi="Arial"/>
          <w:b/>
          <w:i w:val="0"/>
          <w:sz w:val="24"/>
        </w:rPr>
        <w:t>[NÚMERO DE PENSIÓN]</w:t>
      </w:r>
      <w:r>
        <w:rPr>
          <w:rFonts w:ascii="Arial" w:hAnsi="Arial"/>
          <w:b w:val="0"/>
          <w:i w:val="0"/>
          <w:sz w:val="24"/>
        </w:rPr>
        <w:t>: el que aparece en la concesión y en los comprobantes de pago.</w:t>
      </w:r>
    </w:p>
    <w:p>
      <w:pPr>
        <w:spacing w:line="360" w:lineRule="auto"/>
        <w:jc w:val="both"/>
      </w:pPr>
      <w:r>
        <w:rPr>
          <w:rFonts w:ascii="Arial" w:hAnsi="Arial"/>
          <w:b/>
          <w:i w:val="0"/>
          <w:sz w:val="24"/>
        </w:rPr>
        <w:t>[ACUSE DE RECIBO DE LA SOLICITUD]</w:t>
      </w:r>
      <w:r>
        <w:rPr>
          <w:rFonts w:ascii="Arial" w:hAnsi="Arial"/>
          <w:b w:val="0"/>
          <w:i w:val="0"/>
          <w:sz w:val="24"/>
        </w:rPr>
        <w:t>: el documento que prueba la entrega: sello de la oficialía de partes o acuse de Correos de México.</w:t>
      </w:r>
    </w:p>
    <w:p>
      <w:pPr>
        <w:spacing w:line="360" w:lineRule="auto"/>
        <w:jc w:val="both"/>
      </w:pPr>
      <w:r>
        <w:rPr>
          <w:rFonts w:ascii="Arial" w:hAnsi="Arial"/>
          <w:b/>
          <w:i w:val="0"/>
          <w:sz w:val="24"/>
        </w:rPr>
        <w:t>[FECHA DE INICIO DEL DERECHO PENSIONARIO]</w:t>
      </w:r>
      <w:r>
        <w:rPr>
          <w:rFonts w:ascii="Arial" w:hAnsi="Arial"/>
          <w:b w:val="0"/>
          <w:i w:val="0"/>
          <w:sz w:val="24"/>
        </w:rPr>
        <w:t>: la fecha de efectos que fija la concesión; para este machote debe caer entre el 1 de enero de 2002 y el 31 de marzo de 2007.</w:t>
      </w:r>
    </w:p>
    <w:p>
      <w:pPr>
        <w:spacing w:line="360" w:lineRule="auto"/>
        <w:jc w:val="both"/>
      </w:pPr>
      <w:r>
        <w:rPr>
          <w:rFonts w:ascii="Arial" w:hAnsi="Arial"/>
          <w:b/>
          <w:i w:val="0"/>
          <w:sz w:val="24"/>
        </w:rPr>
        <w:t>[DOCUMENTO QUE ACREDITA LA FECHA DEL DERECHO]</w:t>
      </w:r>
      <w:r>
        <w:rPr>
          <w:rFonts w:ascii="Arial" w:hAnsi="Arial"/>
          <w:b w:val="0"/>
          <w:i w:val="0"/>
          <w:sz w:val="24"/>
        </w:rPr>
        <w:t>: normalmente la concesión de pensión, con su número y fecha.</w:t>
      </w:r>
    </w:p>
    <w:p>
      <w:pPr>
        <w:spacing w:line="360" w:lineRule="auto"/>
        <w:jc w:val="both"/>
      </w:pPr>
      <w:r>
        <w:rPr>
          <w:rFonts w:ascii="Arial" w:hAnsi="Arial"/>
          <w:b/>
          <w:i w:val="0"/>
          <w:sz w:val="24"/>
        </w:rPr>
        <w:t>[TIPO DE PENSIÓN]</w:t>
      </w:r>
      <w:r>
        <w:rPr>
          <w:rFonts w:ascii="Arial" w:hAnsi="Arial"/>
          <w:b w:val="0"/>
          <w:i w:val="0"/>
          <w:sz w:val="24"/>
        </w:rPr>
        <w:t>: el tipo de pensión tal como lo nombra la concesión (en el caso de la sentencia, jubilación).</w:t>
      </w:r>
    </w:p>
    <w:p>
      <w:pPr>
        <w:spacing w:line="360" w:lineRule="auto"/>
        <w:jc w:val="both"/>
      </w:pPr>
      <w:r>
        <w:rPr>
          <w:rFonts w:ascii="Arial" w:hAnsi="Arial"/>
          <w:b/>
          <w:i w:val="0"/>
          <w:sz w:val="24"/>
        </w:rPr>
        <w:t>[PUESTO Y NIVEL TABULAR DE LA ÚLTIMA PLAZA]</w:t>
      </w:r>
      <w:r>
        <w:rPr>
          <w:rFonts w:ascii="Arial" w:hAnsi="Arial"/>
          <w:b w:val="0"/>
          <w:i w:val="0"/>
          <w:sz w:val="24"/>
        </w:rPr>
        <w:t>: el puesto y nivel de tu última plaza en activo; sirve para comparar el alza de los sueldos básicos con el INPC de cada año.</w:t>
      </w:r>
    </w:p>
    <w:p>
      <w:pPr>
        <w:spacing w:line="360" w:lineRule="auto"/>
        <w:jc w:val="both"/>
      </w:pPr>
      <w:r>
        <w:rPr>
          <w:rFonts w:ascii="Arial" w:hAnsi="Arial"/>
          <w:b/>
          <w:i w:val="0"/>
          <w:sz w:val="24"/>
        </w:rPr>
        <w:t>[PRIMER AÑO DE INCREMENTOS RECLAMADOS]</w:t>
      </w:r>
      <w:r>
        <w:rPr>
          <w:rFonts w:ascii="Arial" w:hAnsi="Arial"/>
          <w:b w:val="0"/>
          <w:i w:val="0"/>
          <w:sz w:val="24"/>
        </w:rPr>
        <w:t>: el primer ejercicio cuyo ajuste reclamas; ten en cuenta que los montos vencidos prescriben aunque el derecho a los incrementos no.</w:t>
      </w:r>
    </w:p>
    <w:p/>
    <w:p>
      <w:pPr>
        <w:spacing w:line="360" w:lineRule="auto"/>
        <w:jc w:val="both"/>
      </w:pPr>
      <w:r>
        <w:rPr>
          <w:rFonts w:ascii="Arial" w:hAnsi="Arial"/>
          <w:b/>
          <w:sz w:val="28"/>
        </w:rPr>
        <w:t>[NÚMERO ORDINAL DEL CONCEPTO] CONCEPTO DE IMPUGNACIÓN. Ilegalidad de la negativa ficta recaída a la solicitud de recálculo de los incrementos de una pensión otorgada entre el 1 de enero de 2002 y el 31 de marzo de 2007. La autoridad dejó de aplicar el mecanismo de ajuste anual que preveía la Ley del Instituto de Seguridad y Servicios Sociales de los Trabajadores del Estado de 1983 en su artículo 57, conforme al texto vigente cuando nació el derecho, y no acreditó haberlo observado, por lo que se actualiza la causal de nulidad de la fracción IV del numeral 51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negativa ficta configurada por el silencio de la </w:t>
      </w:r>
      <w:r>
        <w:rPr>
          <w:rFonts w:ascii="Arial" w:hAnsi="Arial"/>
          <w:b/>
          <w:i w:val="0"/>
          <w:sz w:val="28"/>
        </w:rPr>
        <w:t>[AUTORIDAD DEMANDADA]</w:t>
      </w:r>
      <w:r>
        <w:rPr>
          <w:rFonts w:ascii="Arial" w:hAnsi="Arial"/>
          <w:b w:val="0"/>
          <w:i w:val="0"/>
          <w:sz w:val="28"/>
        </w:rPr>
        <w:t xml:space="preserve"> frente a la petición que </w:t>
      </w:r>
      <w:r>
        <w:rPr>
          <w:rFonts w:ascii="Arial" w:hAnsi="Arial"/>
          <w:b/>
          <w:i w:val="0"/>
          <w:sz w:val="28"/>
        </w:rPr>
        <w:t>[NOMBRE DE LA PARTE ACTORA]</w:t>
      </w:r>
      <w:r>
        <w:rPr>
          <w:rFonts w:ascii="Arial" w:hAnsi="Arial"/>
          <w:b w:val="0"/>
          <w:i w:val="0"/>
          <w:sz w:val="28"/>
        </w:rPr>
        <w:t xml:space="preserve"> formuló el </w:t>
      </w:r>
      <w:r>
        <w:rPr>
          <w:rFonts w:ascii="Arial" w:hAnsi="Arial"/>
          <w:b/>
          <w:i w:val="0"/>
          <w:sz w:val="28"/>
        </w:rPr>
        <w:t>[FECHA DE PRESENTACIÓN DE LA SOLICITUD]</w:t>
      </w:r>
      <w:r>
        <w:rPr>
          <w:rFonts w:ascii="Arial" w:hAnsi="Arial"/>
          <w:b w:val="0"/>
          <w:i w:val="0"/>
          <w:sz w:val="28"/>
        </w:rPr>
        <w:t xml:space="preserve">, en la que pidió el recálculo y pago de los incrementos de su pensión número </w:t>
      </w:r>
      <w:r>
        <w:rPr>
          <w:rFonts w:ascii="Arial" w:hAnsi="Arial"/>
          <w:b/>
          <w:i w:val="0"/>
          <w:sz w:val="28"/>
        </w:rPr>
        <w:t>[NÚMERO DE PENSIÓN]</w:t>
      </w:r>
      <w:r>
        <w:rPr>
          <w:rFonts w:ascii="Arial" w:hAnsi="Arial"/>
          <w:b w:val="0"/>
          <w:i w:val="0"/>
          <w:sz w:val="28"/>
        </w:rPr>
        <w:t>, es ilegal, porque mantiene una cuota diaria que no se ha ajustado conforme al régimen jurídico que gobierna esa prestación.</w:t>
      </w:r>
    </w:p>
    <w:p>
      <w:pPr>
        <w:spacing w:line="360" w:lineRule="auto"/>
        <w:jc w:val="both"/>
      </w:pPr>
      <w:r>
        <w:rPr>
          <w:rFonts w:ascii="Arial" w:hAnsi="Arial"/>
          <w:b w:val="0"/>
          <w:i w:val="0"/>
          <w:sz w:val="28"/>
        </w:rPr>
        <w:t xml:space="preserve">La demostración descansa en dos premisas que se refuerzan entre sí; la primera es temporal, pues el derecho pensionario de la parte actora nació el </w:t>
      </w:r>
      <w:r>
        <w:rPr>
          <w:rFonts w:ascii="Arial" w:hAnsi="Arial"/>
          <w:b/>
          <w:i w:val="0"/>
          <w:sz w:val="28"/>
        </w:rPr>
        <w:t>[FECHA DE INICIO DEL DERECHO PENSIONARIO]</w:t>
      </w:r>
      <w:r>
        <w:rPr>
          <w:rFonts w:ascii="Arial" w:hAnsi="Arial"/>
          <w:b w:val="0"/>
          <w:i w:val="0"/>
          <w:sz w:val="28"/>
        </w:rPr>
        <w:t>, durante la vigencia del texto legal que ordenaba aumentar cada año la cuantía conforme al Índice Nacional de Precios al Consumidor o, si éste resultaba inferior, en la misma proporción que los sueldos básicos del personal en activo, y la segunda es probatoria, ya que, negado lisa y llanamente que esos ajustes se hayan efectuado, toca a la demandada acreditar lo contrario.</w:t>
      </w:r>
    </w:p>
    <w:p>
      <w:pPr>
        <w:spacing w:line="360" w:lineRule="auto"/>
        <w:jc w:val="both"/>
      </w:pPr>
      <w:r>
        <w:rPr>
          <w:rFonts w:ascii="Arial" w:hAnsi="Arial"/>
          <w:b w:val="0"/>
          <w:i w:val="0"/>
          <w:sz w:val="28"/>
        </w:rPr>
        <w:t>Confirmadas ambas premisas, procede declarar la nulidad de la negativa ficta por haber dejado de aplicar las disposiciones debidas en cuanto al fondo, con efectos que obliguen a la autoridad a emitir una resolución nueva, con el cálculo detallado de cada ajuste anual, y a cubrir las diferencias que resulten.</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cuya nulidad se demanda es la negativa ficta recaída al escrito entregado ante la </w:t>
      </w:r>
      <w:r>
        <w:rPr>
          <w:rFonts w:ascii="Arial" w:hAnsi="Arial"/>
          <w:b/>
          <w:i w:val="0"/>
          <w:sz w:val="28"/>
        </w:rPr>
        <w:t>[AUTORIDAD DEMANDADA]</w:t>
      </w:r>
      <w:r>
        <w:rPr>
          <w:rFonts w:ascii="Arial" w:hAnsi="Arial"/>
          <w:b w:val="0"/>
          <w:i w:val="0"/>
          <w:sz w:val="28"/>
        </w:rPr>
        <w:t xml:space="preserve"> el </w:t>
      </w:r>
      <w:r>
        <w:rPr>
          <w:rFonts w:ascii="Arial" w:hAnsi="Arial"/>
          <w:b/>
          <w:i w:val="0"/>
          <w:sz w:val="28"/>
        </w:rPr>
        <w:t>[FECHA DE PRESENTACIÓN DE LA SOLICITUD]</w:t>
      </w:r>
      <w:r>
        <w:rPr>
          <w:rFonts w:ascii="Arial" w:hAnsi="Arial"/>
          <w:b w:val="0"/>
          <w:i w:val="0"/>
          <w:sz w:val="28"/>
        </w:rPr>
        <w:t xml:space="preserve">, según consta en </w:t>
      </w:r>
      <w:r>
        <w:rPr>
          <w:rFonts w:ascii="Arial" w:hAnsi="Arial"/>
          <w:b/>
          <w:i w:val="0"/>
          <w:sz w:val="28"/>
        </w:rPr>
        <w:t>[ACUSE DE RECIBO DE LA SOLICITUD]</w:t>
      </w:r>
      <w:r>
        <w:rPr>
          <w:rFonts w:ascii="Arial" w:hAnsi="Arial"/>
          <w:b w:val="0"/>
          <w:i w:val="0"/>
          <w:sz w:val="28"/>
        </w:rPr>
        <w:t>, promoción de la que se acompaña copia con el sello de recepción, como lo exige la fracción IV del artículo 15 de la Ley Federal de Procedimiento Contencioso Administrativo, sin que hasta hoy se haya notificado a la parte actora respuesta expresa alguna.</w:t>
      </w:r>
    </w:p>
    <w:p>
      <w:pPr>
        <w:spacing w:line="360" w:lineRule="auto"/>
        <w:jc w:val="both"/>
      </w:pPr>
      <w:r>
        <w:rPr>
          <w:rFonts w:ascii="Arial" w:hAnsi="Arial"/>
          <w:b w:val="0"/>
          <w:i w:val="0"/>
          <w:sz w:val="28"/>
        </w:rPr>
        <w:t xml:space="preserve">La configuración de esa negativa se rige por el artículo 17 de la Ley Federal de Procedimiento Administrativo, conforme al cual, </w:t>
      </w:r>
      <w:r>
        <w:rPr>
          <w:rFonts w:ascii="Arial" w:hAnsi="Arial"/>
          <w:b w:val="0"/>
          <w:i/>
          <w:sz w:val="28"/>
        </w:rPr>
        <w:t>“Transcurrido el plazo aplicable, se entenderán las resoluciones en sentido negativo al promovente”</w:t>
      </w:r>
      <w:r>
        <w:rPr>
          <w:rFonts w:ascii="Arial" w:hAnsi="Arial"/>
          <w:b w:val="0"/>
          <w:i w:val="0"/>
          <w:sz w:val="28"/>
        </w:rPr>
        <w:t>, de modo que el silencio de la autoridad, prolongado más allá del lapso que ese precepto le concede para pronunciarse, equivale a una denegación impugnable ante este Tribunal.</w:t>
      </w:r>
    </w:p>
    <w:p>
      <w:pPr>
        <w:spacing w:line="360" w:lineRule="auto"/>
        <w:jc w:val="both"/>
      </w:pPr>
      <w:r>
        <w:rPr>
          <w:rFonts w:ascii="Arial" w:hAnsi="Arial"/>
          <w:b w:val="0"/>
          <w:i w:val="0"/>
          <w:sz w:val="28"/>
        </w:rPr>
        <w:t>Las normas cuya inobservancia se plantea son el artículo 57 de la Ley del Instituto de Seguridad y Servicios Sociales de los Trabajadores del Estado publicada en el Diario Oficial de la Federación el 27 de diciembre de 1983, en el texto que rigió del 1 de enero de 2002 al 31 de marzo de 2007; el numeral 48 del mismo ordenamiento, que fija el momento en que nace el derecho a la pensión, y los preceptos 22, 40 y 42 de la Ley Federal de Procedimiento Contencioso Administrativo, que distribuyen en el juicio las cargas de exponer y de probar.</w:t>
      </w:r>
    </w:p>
    <w:p>
      <w:pPr>
        <w:spacing w:line="360" w:lineRule="auto"/>
        <w:jc w:val="both"/>
      </w:pPr>
      <w:r>
        <w:rPr>
          <w:rFonts w:ascii="Arial" w:hAnsi="Arial"/>
          <w:b w:val="0"/>
          <w:i w:val="0"/>
          <w:sz w:val="28"/>
        </w:rPr>
        <w:t>El perjuicio es directo y de tracto sucesivo, pues cada pago periódico se calcula sobre una cuota diaria que no incorpora los ajustes ordenados por la ley, lo que erosiona el poder adquisitivo de una prestación que el apartado B, fracción XI, inciso a), del artículo 123 constitucional garantiza a los trabajadores al servicio del Estado, al disponer que la seguridad social cubrirá la jubilación, la invalidez, la vejez y la muerte.</w:t>
      </w:r>
    </w:p>
    <w:p>
      <w:pPr>
        <w:spacing w:line="360" w:lineRule="auto"/>
        <w:jc w:val="both"/>
      </w:pPr>
      <w:r>
        <w:rPr>
          <w:rFonts w:ascii="Arial" w:hAnsi="Arial"/>
          <w:b w:val="0"/>
          <w:i w:val="0"/>
          <w:sz w:val="28"/>
        </w:rPr>
        <w:t>Conviene precisar desde ahora el alcance de la pretensión, para evitar que se califique de inoperante por partir de una premisa equivocada; este concepto reclama la aplicación puntual del mecanismo que regía cuando la pensión ingresó al patrimonio de su titular, de modo que prescinde del salario mínimo y del texto del artículo 57 que rigió de 1993 a 2001, el cual dejó de estar vigente antes de que naciera el derecho de la parte actora.</w:t>
      </w:r>
    </w:p>
    <w:p>
      <w:pPr>
        <w:spacing w:line="360" w:lineRule="auto"/>
        <w:jc w:val="both"/>
      </w:pPr>
      <w:r>
        <w:rPr>
          <w:rFonts w:ascii="Arial" w:hAnsi="Arial"/>
          <w:b w:val="0"/>
          <w:i w:val="0"/>
          <w:sz w:val="28"/>
        </w:rPr>
        <w:t>Tampoco se disputa que, como lo reconoció una Sala Regional de este Tribunal al resolver un caso análogo, la referencia monetaria para cuantificar el incremento y el tope de la pensión sea hoy la Unidad de Medida y Actualización, por lo que la pretensión se concentra en lo verdaderamente debatido, que es si la autoridad aplicó cada año el índice o la proporción que la ley le imponía.</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sz w:val="28"/>
        </w:rPr>
        <w:t>a) El incremento se rige por la ley vigente cuando nació el derecho.</w:t>
      </w:r>
    </w:p>
    <w:p>
      <w:pPr>
        <w:spacing w:line="360" w:lineRule="auto"/>
        <w:jc w:val="both"/>
      </w:pPr>
      <w:r>
        <w:rPr>
          <w:rFonts w:ascii="Arial" w:hAnsi="Arial"/>
          <w:b w:val="0"/>
          <w:i w:val="0"/>
          <w:sz w:val="28"/>
        </w:rPr>
        <w:t xml:space="preserve">El punto de partida es el momento en que la pensión deja de ser una expectativa y se convierte en un derecho; el ordenamiento de 1983, en su artículo 48, lo fija con precisión al disponer que </w:t>
      </w:r>
      <w:r>
        <w:rPr>
          <w:rFonts w:ascii="Arial" w:hAnsi="Arial"/>
          <w:b w:val="0"/>
          <w:i/>
          <w:sz w:val="28"/>
        </w:rPr>
        <w:t>“El derecho a las pensiones de cualquier naturaleza nace cuando el trabajador o sus familiares derechohabientes se encuentren en los supuestos consignados en esta Ley y satisfagan los requisitos que la misma señala”</w:t>
      </w:r>
      <w:r>
        <w:rPr>
          <w:rFonts w:ascii="Arial" w:hAnsi="Arial"/>
          <w:b w:val="0"/>
          <w:i w:val="0"/>
          <w:sz w:val="28"/>
        </w:rPr>
        <w:t>.</w:t>
      </w:r>
    </w:p>
    <w:p>
      <w:pPr>
        <w:spacing w:line="360" w:lineRule="auto"/>
        <w:jc w:val="both"/>
      </w:pPr>
      <w:r>
        <w:rPr>
          <w:rFonts w:ascii="Arial" w:hAnsi="Arial"/>
          <w:b w:val="0"/>
          <w:i w:val="0"/>
          <w:sz w:val="28"/>
        </w:rPr>
        <w:t>Reunidos esos requisitos, la prestación ingresa al patrimonio de su titular con el contenido que le asignaba la legislación de ese momento, incluido su incremento periódico, de suerte que ese aumento se sujeta a los términos y la proporción que fijaba la normativa en vigor en la época en que se generó la prerrogativa.</w:t>
      </w:r>
    </w:p>
    <w:p>
      <w:pPr>
        <w:spacing w:line="360" w:lineRule="auto"/>
        <w:jc w:val="both"/>
      </w:pPr>
      <w:r>
        <w:rPr>
          <w:rFonts w:ascii="Arial" w:hAnsi="Arial"/>
          <w:b w:val="0"/>
          <w:i w:val="0"/>
          <w:sz w:val="28"/>
        </w:rPr>
        <w:t>A lo largo de su vigencia, el artículo 57 de ese ordenamiento conoció tres sistemas de ajuste: del 1 de enero de 1984 al 4 de enero de 1993, las pensiones crecían al mismo tiempo y en la misma proporción que los sueldos básicos de los trabajadores en activo; del 5 de enero de 1993 al 31 de diciembre de 2001, según el salario mínimo general para el Distrito Federal, y del 1 de enero de 2002 al 31 de marzo de 2007, anualmente, conforme al Índice Nacional de Precios al Consumidor o, en su defecto, al alza de esas mismas percepciones.</w:t>
      </w:r>
    </w:p>
    <w:p>
      <w:pPr>
        <w:spacing w:line="360" w:lineRule="auto"/>
        <w:jc w:val="both"/>
      </w:pPr>
      <w:r>
        <w:rPr>
          <w:rFonts w:ascii="Arial" w:hAnsi="Arial"/>
          <w:b w:val="0"/>
          <w:i w:val="0"/>
          <w:sz w:val="28"/>
        </w:rPr>
        <w:t>Para las pensiones cuyo derecho nació en el último de esos periodos, el texto aplicable dispone, en lo que interesa, lo siguiente.</w:t>
      </w:r>
    </w:p>
    <w:p>
      <w:pPr>
        <w:spacing w:line="360" w:lineRule="auto"/>
        <w:jc w:val="both"/>
      </w:pPr>
      <w:r>
        <w:rPr>
          <w:rFonts w:ascii="Arial" w:hAnsi="Arial"/>
          <w:b w:val="0"/>
          <w:i/>
          <w:sz w:val="28"/>
        </w:rPr>
        <w:t>“La cuantía de las pensiones se aumentará anualmente conforme al incremento que en el año calendario anterior hubiese tenido el Índice Nacional de Precios al Consumidor, con efectos a partir del día primero del mes de enero de cada año.”</w:t>
      </w:r>
    </w:p>
    <w:p>
      <w:pPr>
        <w:spacing w:line="360" w:lineRule="auto"/>
        <w:jc w:val="both"/>
      </w:pPr>
      <w:r>
        <w:rPr>
          <w:rFonts w:ascii="Arial" w:hAnsi="Arial"/>
          <w:b w:val="0"/>
          <w:i/>
          <w:sz w:val="28"/>
        </w:rPr>
        <w:t>“En caso de que en el año calendario anterior el incremento del Índice Nacional de Precios al Consumidor resulte inferior a los aumentos otorgados a los sueldos básicos de los trabajadores en activo, las cuantías de las pensiones se incrementarán en la misma proporción que estos últimos.”</w:t>
      </w:r>
    </w:p>
    <w:p>
      <w:pPr>
        <w:spacing w:line="360" w:lineRule="auto"/>
        <w:jc w:val="both"/>
      </w:pPr>
      <w:r>
        <w:rPr>
          <w:rFonts w:ascii="Arial" w:hAnsi="Arial"/>
          <w:b w:val="0"/>
          <w:i/>
          <w:sz w:val="28"/>
        </w:rPr>
        <w:t>“De no ser posible la identificación del puesto, para el incremento que corresponde a la pensión respectiva, se utilizará el Índice Nacional de Precios al Consumidor como criterio de incremento.”</w:t>
      </w:r>
    </w:p>
    <w:p>
      <w:pPr>
        <w:spacing w:line="360" w:lineRule="auto"/>
        <w:jc w:val="both"/>
      </w:pPr>
      <w:r>
        <w:rPr>
          <w:rFonts w:ascii="Arial" w:hAnsi="Arial"/>
          <w:b w:val="0"/>
          <w:i w:val="0"/>
          <w:sz w:val="28"/>
        </w:rPr>
        <w:t>El precepto combina una regla general con una cláusula de garantía; la primera ordena aplicar cada año el crecimiento del índice inflacionario del ejercicio anterior, y la segunda impide que la pensión quede rezagada respecto del personal en activo, pues cuando los sueldos básicos suben más que ese indicador la cuantía debe crecer en igual proporción, de manera que el ajuste correcto es el que resulte mayor entre ambos parámetros.</w:t>
      </w:r>
    </w:p>
    <w:p>
      <w:pPr>
        <w:spacing w:line="360" w:lineRule="auto"/>
        <w:jc w:val="both"/>
      </w:pPr>
      <w:r>
        <w:rPr>
          <w:rFonts w:ascii="Arial" w:hAnsi="Arial"/>
          <w:b w:val="0"/>
          <w:i w:val="0"/>
          <w:sz w:val="28"/>
        </w:rPr>
        <w:t>El propio texto revela, además, que el ajuste opera por ministerio de ley, con efectos a partir del primero de enero de cada año y sin depender de una petición de la persona pensionada, por lo que configura una obligación de ejecución periódica a cargo del Instituto, cuyo cumplimiento debe constar en cálculos verificables, año por año, con la indicación del índice o del tabulador empleado, del puesto que sirvió de referencia y de la cuota resultante.</w:t>
      </w:r>
    </w:p>
    <w:p>
      <w:pPr>
        <w:spacing w:line="360" w:lineRule="auto"/>
        <w:jc w:val="both"/>
      </w:pPr>
      <w:r>
        <w:rPr>
          <w:rFonts w:ascii="Arial" w:hAnsi="Arial"/>
          <w:b/>
          <w:sz w:val="28"/>
        </w:rPr>
        <w:t>b) La negativa ficta obliga a la autoridad a exponer en el juicio los hechos y el derecho de su denegación.</w:t>
      </w:r>
    </w:p>
    <w:p>
      <w:pPr>
        <w:spacing w:line="360" w:lineRule="auto"/>
        <w:jc w:val="both"/>
      </w:pPr>
      <w:r>
        <w:rPr>
          <w:rFonts w:ascii="Arial" w:hAnsi="Arial"/>
          <w:b w:val="0"/>
          <w:i w:val="0"/>
          <w:sz w:val="28"/>
        </w:rPr>
        <w:t xml:space="preserve">Frente al silencio de la autoridad, el legislador no dejó a la persona solicitante en la indefensión; el artículo 22 de la Ley Federal de Procedimiento Contencioso Administrativo dispone que, </w:t>
      </w:r>
      <w:r>
        <w:rPr>
          <w:rFonts w:ascii="Arial" w:hAnsi="Arial"/>
          <w:b w:val="0"/>
          <w:i/>
          <w:sz w:val="28"/>
        </w:rPr>
        <w:t>“En caso de resolución negativa ficta, la autoridad demandada o la facultada para contestar la demanda, expresará los hechos y el derecho en que se apoya la misma”</w:t>
      </w:r>
      <w:r>
        <w:rPr>
          <w:rFonts w:ascii="Arial" w:hAnsi="Arial"/>
          <w:b w:val="0"/>
          <w:i w:val="0"/>
          <w:sz w:val="28"/>
        </w:rPr>
        <w:t>, de manera que la contestación es el momento procesal en que la negativa adquiere contenido y puede ser examinada.</w:t>
      </w:r>
    </w:p>
    <w:p>
      <w:pPr>
        <w:spacing w:line="360" w:lineRule="auto"/>
        <w:jc w:val="both"/>
      </w:pPr>
      <w:r>
        <w:rPr>
          <w:rFonts w:ascii="Arial" w:hAnsi="Arial"/>
          <w:b w:val="0"/>
          <w:i w:val="0"/>
          <w:sz w:val="28"/>
        </w:rPr>
        <w:t>Correlativamente, la fracción I del artículo 17 del mismo ordenamiento autoriza ampliar el escrito inicial cuando se impugne una negativa ficta, con lo que la persona actora puede controvertir los motivos que la autoridad exponga por primera vez al contestar; por esa razón, los argumentos de este concepto se formulan desde ahora y se reiterarán, en su caso, en la ampliación.</w:t>
      </w:r>
    </w:p>
    <w:p>
      <w:pPr>
        <w:spacing w:line="360" w:lineRule="auto"/>
        <w:jc w:val="both"/>
      </w:pPr>
      <w:r>
        <w:rPr>
          <w:rFonts w:ascii="Arial" w:hAnsi="Arial"/>
          <w:b w:val="0"/>
          <w:i w:val="0"/>
          <w:sz w:val="28"/>
        </w:rPr>
        <w:t>De ese diseño se sigue que la negativa ficta carece de una motivación previa que pueda presumirse correcta, porque su contenido se integra con lo que la autoridad exprese al contestar, y que, si en esa oportunidad no se exponen ni se demuestran los cálculos de los incrementos, la denegación queda desprovista de todo sustento.</w:t>
      </w:r>
    </w:p>
    <w:p>
      <w:pPr>
        <w:spacing w:line="360" w:lineRule="auto"/>
        <w:jc w:val="both"/>
      </w:pPr>
      <w:r>
        <w:rPr>
          <w:rFonts w:ascii="Arial" w:hAnsi="Arial"/>
          <w:b/>
          <w:sz w:val="28"/>
        </w:rPr>
        <w:t>c) Ante la negativa lisa y llana, la carga de probar los incrementos corresponde a la autoridad.</w:t>
      </w:r>
    </w:p>
    <w:p>
      <w:pPr>
        <w:spacing w:line="360" w:lineRule="auto"/>
        <w:jc w:val="both"/>
      </w:pPr>
      <w:r>
        <w:rPr>
          <w:rFonts w:ascii="Arial" w:hAnsi="Arial"/>
          <w:b w:val="0"/>
          <w:i w:val="0"/>
          <w:sz w:val="28"/>
        </w:rPr>
        <w:t xml:space="preserve">El artículo 40 de la Ley Federal de Procedimiento Contencioso Administrativo impone a quien pretende que se reconozca o se haga efectivo un derecho subjetivo la carga de probar los hechos de los que éste deriva y su violación, </w:t>
      </w:r>
      <w:r>
        <w:rPr>
          <w:rFonts w:ascii="Arial" w:hAnsi="Arial"/>
          <w:b w:val="0"/>
          <w:i/>
          <w:sz w:val="28"/>
        </w:rPr>
        <w:t>“cuando ésta consista en hechos positivos”</w:t>
      </w:r>
      <w:r>
        <w:rPr>
          <w:rFonts w:ascii="Arial" w:hAnsi="Arial"/>
          <w:b w:val="0"/>
          <w:i w:val="0"/>
          <w:sz w:val="28"/>
        </w:rPr>
        <w:t xml:space="preserve">, mientras que el numeral 42 del propio ordenamiento, tras establecer que las resoluciones de la autoridad se presumen legales, precisa que </w:t>
      </w:r>
      <w:r>
        <w:rPr>
          <w:rFonts w:ascii="Arial" w:hAnsi="Arial"/>
          <w:b w:val="0"/>
          <w:i/>
          <w:sz w:val="28"/>
        </w:rPr>
        <w:t>“las autoridades deberán probar los hechos que los motiven cuando la persona afectada los niegue lisa y llanamente, a menos que la negativa implique la afirmación de otro hecho”</w:t>
      </w:r>
      <w:r>
        <w:rPr>
          <w:rFonts w:ascii="Arial" w:hAnsi="Arial"/>
          <w:b w:val="0"/>
          <w:i w:val="0"/>
          <w:sz w:val="28"/>
        </w:rPr>
        <w:t>.</w:t>
      </w:r>
    </w:p>
    <w:p>
      <w:pPr>
        <w:spacing w:line="360" w:lineRule="auto"/>
        <w:jc w:val="both"/>
      </w:pPr>
      <w:r>
        <w:rPr>
          <w:rFonts w:ascii="Arial" w:hAnsi="Arial"/>
          <w:b w:val="0"/>
          <w:i w:val="0"/>
          <w:sz w:val="28"/>
        </w:rPr>
        <w:t>La doctrina explica la lógica de esa distribución al distinguir entre las cargas de argumentación y de prueba; quien funda su posición en una negación tiene el deber de exponer sus razones, pero no el de acreditar sucesos que nunca ocurrieron, tarea imposible, de modo que corresponde a su contraparte, por tener el interés opuesto, demostrar que sí tuvieron lugar.</w:t>
      </w:r>
      <w:r>
        <w:rPr>
          <w:rFonts w:ascii="Arial" w:hAnsi="Arial"/>
          <w:vertAlign w:val="superscript"/>
        </w:rPr>
        <w:t>1</w:t>
      </w:r>
    </w:p>
    <w:p>
      <w:pPr>
        <w:spacing w:line="360" w:lineRule="auto"/>
        <w:jc w:val="both"/>
      </w:pPr>
      <w:r>
        <w:rPr>
          <w:rFonts w:ascii="Arial" w:hAnsi="Arial"/>
          <w:b w:val="0"/>
          <w:i w:val="0"/>
          <w:sz w:val="28"/>
        </w:rPr>
        <w:t>A igual conclusión conduce la distinción procesal que la doctrina atribuye a Chiovenda entre hechos constitutivos, cuya prueba toca a quien reclama el derecho, y los impeditivos o extintivos, que debe acreditar la parte demandada.</w:t>
      </w:r>
      <w:r>
        <w:rPr>
          <w:rFonts w:ascii="Arial" w:hAnsi="Arial"/>
          <w:vertAlign w:val="superscript"/>
        </w:rPr>
        <w:t>2</w:t>
      </w:r>
    </w:p>
    <w:p>
      <w:pPr>
        <w:spacing w:line="360" w:lineRule="auto"/>
        <w:jc w:val="both"/>
      </w:pPr>
      <w:r>
        <w:rPr>
          <w:rFonts w:ascii="Arial" w:hAnsi="Arial"/>
          <w:b w:val="0"/>
          <w:i w:val="0"/>
          <w:sz w:val="28"/>
        </w:rPr>
        <w:t>En el caso, el supuesto constitutivo es el nacimiento de la pensión bajo el régimen de 2002 a 2007, que la parte actora demuestra con su concesión, mientras que el cumplimiento de los ajustes anuales extinguiría la obligación del Instituto, por lo que sólo éste, si afirma haberlo realizado, puede aportar su prueba.</w:t>
      </w:r>
    </w:p>
    <w:p>
      <w:pPr>
        <w:spacing w:line="360" w:lineRule="auto"/>
        <w:jc w:val="both"/>
      </w:pPr>
      <w:r>
        <w:rPr>
          <w:rFonts w:ascii="Arial" w:hAnsi="Arial"/>
          <w:b w:val="0"/>
          <w:i w:val="0"/>
          <w:sz w:val="28"/>
        </w:rPr>
        <w:t>Por último, el artículo 50 de la Ley Federal de Procedimiento Contencioso Administrativo ordena que las sentencias resuelvan sobre la pretensión de la persona actora que se deduzca de su demanda y, cuando se condene a la restitución de un derecho subjetivo, que el Tribunal constate previamente esa prerrogativa además de la ilegalidad de la resolución impugnada; en armonía con la justicia pronta y completa que garantiza el precepto 17 constitucional, ello permite a la Sala decidir el fondo sin reenviar la petición a quien guardó silencio.</w:t>
      </w:r>
    </w:p>
    <w:p>
      <w:pPr>
        <w:spacing w:line="360" w:lineRule="auto"/>
        <w:jc w:val="both"/>
      </w:pPr>
      <w:r>
        <w:rPr>
          <w:rFonts w:ascii="Arial" w:hAnsi="Arial"/>
          <w:b/>
          <w:sz w:val="28"/>
        </w:rPr>
        <w:t>IV. Aplicación al caso concreto y refutación de la defensa de la autoridad.</w:t>
      </w:r>
    </w:p>
    <w:p>
      <w:pPr>
        <w:spacing w:line="360" w:lineRule="auto"/>
        <w:jc w:val="both"/>
      </w:pPr>
      <w:r>
        <w:rPr>
          <w:rFonts w:ascii="Arial" w:hAnsi="Arial"/>
          <w:b w:val="0"/>
          <w:i w:val="0"/>
          <w:sz w:val="28"/>
        </w:rPr>
        <w:t xml:space="preserve">Los hechos del caso encuadran con exactitud en la premisa expuesta, pues, conforme a </w:t>
      </w:r>
      <w:r>
        <w:rPr>
          <w:rFonts w:ascii="Arial" w:hAnsi="Arial"/>
          <w:b/>
          <w:i w:val="0"/>
          <w:sz w:val="28"/>
        </w:rPr>
        <w:t>[DOCUMENTO QUE ACREDITA LA FECHA DEL DERECHO]</w:t>
      </w:r>
      <w:r>
        <w:rPr>
          <w:rFonts w:ascii="Arial" w:hAnsi="Arial"/>
          <w:b w:val="0"/>
          <w:i w:val="0"/>
          <w:sz w:val="28"/>
        </w:rPr>
        <w:t xml:space="preserve">, la parte actora obtuvo su pensión por </w:t>
      </w:r>
      <w:r>
        <w:rPr>
          <w:rFonts w:ascii="Arial" w:hAnsi="Arial"/>
          <w:b/>
          <w:i w:val="0"/>
          <w:sz w:val="28"/>
        </w:rPr>
        <w:t>[TIPO DE PENSIÓN]</w:t>
      </w:r>
      <w:r>
        <w:rPr>
          <w:rFonts w:ascii="Arial" w:hAnsi="Arial"/>
          <w:b w:val="0"/>
          <w:i w:val="0"/>
          <w:sz w:val="28"/>
        </w:rPr>
        <w:t xml:space="preserve"> con efectos a partir del </w:t>
      </w:r>
      <w:r>
        <w:rPr>
          <w:rFonts w:ascii="Arial" w:hAnsi="Arial"/>
          <w:b/>
          <w:i w:val="0"/>
          <w:sz w:val="28"/>
        </w:rPr>
        <w:t>[FECHA DE INICIO DEL DERECHO PENSIONARIO]</w:t>
      </w:r>
      <w:r>
        <w:rPr>
          <w:rFonts w:ascii="Arial" w:hAnsi="Arial"/>
          <w:b w:val="0"/>
          <w:i w:val="0"/>
          <w:sz w:val="28"/>
        </w:rPr>
        <w:t>, fecha comprendida entre el 1 de enero de 2002 y el 31 de marzo de 2007, de modo que el mecanismo que gobierna su cuota diaria es el del artículo 57 en el texto que rigió durante ese periodo.</w:t>
      </w:r>
    </w:p>
    <w:p>
      <w:pPr>
        <w:spacing w:line="360" w:lineRule="auto"/>
        <w:jc w:val="both"/>
      </w:pPr>
      <w:r>
        <w:rPr>
          <w:rFonts w:ascii="Arial" w:hAnsi="Arial"/>
          <w:b w:val="0"/>
          <w:i w:val="0"/>
          <w:sz w:val="28"/>
        </w:rPr>
        <w:t xml:space="preserve">Su última plaza en activo fue la de </w:t>
      </w:r>
      <w:r>
        <w:rPr>
          <w:rFonts w:ascii="Arial" w:hAnsi="Arial"/>
          <w:b/>
          <w:i w:val="0"/>
          <w:sz w:val="28"/>
        </w:rPr>
        <w:t>[PUESTO Y NIVEL TABULAR DE LA ÚLTIMA PLAZA]</w:t>
      </w:r>
      <w:r>
        <w:rPr>
          <w:rFonts w:ascii="Arial" w:hAnsi="Arial"/>
          <w:b w:val="0"/>
          <w:i w:val="0"/>
          <w:sz w:val="28"/>
        </w:rPr>
        <w:t>, dato que permite identificar los aumentos generales otorgados a los sueldos básicos de ese puesto y compararlos, año con año, con el crecimiento del Índice Nacional de Precios al Consumidor del ejercicio anterior, a fin de determinar cuál de los dos parámetros debió aplicarse.</w:t>
      </w:r>
    </w:p>
    <w:p>
      <w:pPr>
        <w:spacing w:line="360" w:lineRule="auto"/>
        <w:jc w:val="both"/>
      </w:pPr>
      <w:r>
        <w:rPr>
          <w:rFonts w:ascii="Arial" w:hAnsi="Arial"/>
          <w:b w:val="0"/>
          <w:i w:val="0"/>
          <w:sz w:val="28"/>
        </w:rPr>
        <w:t xml:space="preserve">La parte actora niega lisa y llanamente que, desde </w:t>
      </w:r>
      <w:r>
        <w:rPr>
          <w:rFonts w:ascii="Arial" w:hAnsi="Arial"/>
          <w:b/>
          <w:i w:val="0"/>
          <w:sz w:val="28"/>
        </w:rPr>
        <w:t>[PRIMER AÑO DE INCREMENTOS RECLAMADOS]</w:t>
      </w:r>
      <w:r>
        <w:rPr>
          <w:rFonts w:ascii="Arial" w:hAnsi="Arial"/>
          <w:b w:val="0"/>
          <w:i w:val="0"/>
          <w:sz w:val="28"/>
        </w:rPr>
        <w:t>, la autoridad haya calculado y aplicado los incrementos anuales de su pensión conforme a ese mecanismo; la negativa se formula en términos puros, sin atribuir a la demandada el empleo de un índice o de un procedimiento determinado, por lo que no actualiza la salvedad final del artículo 42 de la ley procesal.</w:t>
      </w:r>
    </w:p>
    <w:p>
      <w:pPr>
        <w:spacing w:line="360" w:lineRule="auto"/>
        <w:jc w:val="both"/>
      </w:pPr>
      <w:r>
        <w:rPr>
          <w:rFonts w:ascii="Arial" w:hAnsi="Arial"/>
          <w:b w:val="0"/>
          <w:i w:val="0"/>
          <w:sz w:val="28"/>
        </w:rPr>
        <w:t xml:space="preserve">Corresponde entonces a la </w:t>
      </w:r>
      <w:r>
        <w:rPr>
          <w:rFonts w:ascii="Arial" w:hAnsi="Arial"/>
          <w:b/>
          <w:i w:val="0"/>
          <w:sz w:val="28"/>
        </w:rPr>
        <w:t>[AUTORIDAD DEMANDADA]</w:t>
      </w:r>
      <w:r>
        <w:rPr>
          <w:rFonts w:ascii="Arial" w:hAnsi="Arial"/>
          <w:b w:val="0"/>
          <w:i w:val="0"/>
          <w:sz w:val="28"/>
        </w:rPr>
        <w:t xml:space="preserve"> exhibir, al contestar, la determinación de cada incremento anual, con el índice o el tabulador empleado y la cuota resultante, pues sólo así puede tenerse por expresado el derecho en que apoya su negativa y por satisfecha la carga probatoria que la ley le impone; si omite hacerlo, la denegación carece de sustento y debe declararse su nulidad.</w:t>
      </w:r>
    </w:p>
    <w:p>
      <w:pPr>
        <w:spacing w:line="360" w:lineRule="auto"/>
        <w:jc w:val="both"/>
      </w:pPr>
      <w:r>
        <w:rPr>
          <w:rFonts w:ascii="Arial" w:hAnsi="Arial"/>
          <w:b w:val="0"/>
          <w:i w:val="0"/>
          <w:sz w:val="28"/>
        </w:rPr>
        <w:t>Es previsible que, al contestar, la autoridad se limite a invocar la presunción de legalidad de los actos administrativos y a sostener que demostrar la ilegalidad corresponde a la parte actora, sin exhibir cálculo alguno; esa defensa debe desestimarse, porque incurre en dos vicios lógicos que la privan de eficacia.</w:t>
      </w:r>
    </w:p>
    <w:p>
      <w:pPr>
        <w:spacing w:line="360" w:lineRule="auto"/>
        <w:jc w:val="both"/>
      </w:pPr>
      <w:r>
        <w:rPr>
          <w:rFonts w:ascii="Arial" w:hAnsi="Arial"/>
          <w:b w:val="0"/>
          <w:i w:val="0"/>
          <w:sz w:val="28"/>
        </w:rPr>
        <w:t>El primero es la falacia ad ignorantiam, que la doctrina describe como el argumento que se apoya en la incapacidad del adversario para responder, de suerte que una afirmación se tiene por admisible, aunque no se demuestre, mientras nadie logre refutarla.</w:t>
      </w:r>
      <w:r>
        <w:rPr>
          <w:rFonts w:ascii="Arial" w:hAnsi="Arial"/>
          <w:vertAlign w:val="superscript"/>
        </w:rPr>
        <w:t>3</w:t>
      </w:r>
      <w:r>
        <w:rPr>
          <w:rFonts w:ascii="Arial" w:hAnsi="Arial"/>
          <w:b w:val="0"/>
          <w:i w:val="0"/>
          <w:sz w:val="28"/>
        </w:rPr>
        <w:t xml:space="preserve"> La autoridad no acredita que los incrementos se hayan calculado correctamente; pretende que se tengan por bien hechos porque la parte actora no ha probado lo contrario, con lo que convierte la falta de evidencia en sustento de la legalidad.</w:t>
      </w:r>
    </w:p>
    <w:p>
      <w:pPr>
        <w:spacing w:line="360" w:lineRule="auto"/>
        <w:jc w:val="both"/>
      </w:pPr>
      <w:r>
        <w:rPr>
          <w:rFonts w:ascii="Arial" w:hAnsi="Arial"/>
          <w:b w:val="0"/>
          <w:i w:val="0"/>
          <w:sz w:val="28"/>
        </w:rPr>
        <w:t>Ese movimiento constituye, además, una inversión de la carga de la prueba, maniobra que traslada al oponente la responsabilidad de demostrar la falsedad de lo que uno sostiene y que ignora el principio según el cual incumbe probar a quien afirma, no a quien niega.</w:t>
      </w:r>
      <w:r>
        <w:rPr>
          <w:rFonts w:ascii="Arial" w:hAnsi="Arial"/>
          <w:vertAlign w:val="superscript"/>
        </w:rPr>
        <w:t>4</w:t>
      </w:r>
      <w:r>
        <w:rPr>
          <w:rFonts w:ascii="Arial" w:hAnsi="Arial"/>
          <w:b w:val="0"/>
          <w:i w:val="0"/>
          <w:sz w:val="28"/>
        </w:rPr>
        <w:t xml:space="preserve"> En el juicio contencioso esa máxima tiene rango legal, porque el numeral 42 de la ley procesal la recoge expresamente para la negativa lisa y llana, de manera que la defensa de la autoridad contradice el texto mismo del precepto que invoca.</w:t>
      </w:r>
    </w:p>
    <w:p>
      <w:pPr>
        <w:spacing w:line="360" w:lineRule="auto"/>
        <w:jc w:val="both"/>
      </w:pPr>
      <w:r>
        <w:rPr>
          <w:rFonts w:ascii="Arial" w:hAnsi="Arial"/>
          <w:b w:val="0"/>
          <w:i w:val="0"/>
          <w:sz w:val="28"/>
        </w:rPr>
        <w:t>El segundo vicio es la petición de principio, que consiste en postular lo mismo que es preciso demostrar, al grado de emplear como premisa lo que afirma la conclusión.</w:t>
      </w:r>
      <w:r>
        <w:rPr>
          <w:rFonts w:ascii="Arial" w:hAnsi="Arial"/>
          <w:vertAlign w:val="superscript"/>
        </w:rPr>
        <w:t>5</w:t>
      </w:r>
      <w:r>
        <w:rPr>
          <w:rFonts w:ascii="Arial" w:hAnsi="Arial"/>
          <w:b w:val="0"/>
          <w:i w:val="0"/>
          <w:sz w:val="28"/>
        </w:rPr>
        <w:t xml:space="preserve"> La autoridad sostiene que la negativa es válida porque los actos administrativos se presumen legales, cuando la legalidad de esa denegación, carente de motivación hasta la contestación, es justamente lo debatido; la presunción no puede servir de prueba de aquello que la ley ordena acreditar cuando el afectado lo niega.</w:t>
      </w:r>
    </w:p>
    <w:p>
      <w:pPr>
        <w:spacing w:line="360" w:lineRule="auto"/>
        <w:jc w:val="both"/>
      </w:pPr>
      <w:r>
        <w:rPr>
          <w:rFonts w:ascii="Arial" w:hAnsi="Arial"/>
          <w:b w:val="0"/>
          <w:i w:val="0"/>
          <w:sz w:val="28"/>
        </w:rPr>
        <w:t>Tampoco podría la autoridad trasladar a esta vía la regla de prueba propia del amparo, en el que la existencia y el cálculo de los incrementos se tratan como hechos positivos a cargo de quien reclama; como lo reconoció una Sala Regional de este Tribunal en un caso análogo, esa pauta no rige en el contencioso administrativo, que cuenta con normas expresas sobre la distribución de las cargas probatorias, de modo que invocarla supondría una falsa analogía.</w:t>
      </w:r>
    </w:p>
    <w:p>
      <w:pPr>
        <w:spacing w:line="360" w:lineRule="auto"/>
        <w:jc w:val="both"/>
      </w:pPr>
      <w:r>
        <w:rPr>
          <w:rFonts w:ascii="Arial" w:hAnsi="Arial"/>
          <w:b w:val="0"/>
          <w:i w:val="0"/>
          <w:sz w:val="28"/>
        </w:rPr>
        <w:t>Si, en cambio, la autoridad pretende justificar la cuota con un mecanismo distinto del que regía cuando nació el derecho, su defensa confirmaría el vicio de fondo, pues aplicaría a una pensión otorgada entre 2002 y 2007 una regla ajena a esa época y dejaría de aplicar las disposiciones debidas, supuesto exacto de la fracción IV del artículo 51 de la ley procesal.</w:t>
      </w:r>
    </w:p>
    <w:p>
      <w:pPr>
        <w:spacing w:line="360" w:lineRule="auto"/>
        <w:jc w:val="both"/>
      </w:pPr>
      <w:r>
        <w:rPr>
          <w:rFonts w:ascii="Arial" w:hAnsi="Arial"/>
          <w:b w:val="0"/>
          <w:i w:val="0"/>
          <w:sz w:val="28"/>
        </w:rPr>
        <w:t>Por último, el silencio de la autoridad no debe traducirse en un reenvío de la petición, porque en autos obran la solicitud, la concesión de pensión y los comprobantes de pago, elementos suficientes para que la Sala defina el régimen aplicable y los términos del cálculo sin prolongar la omisión que dio origen al juicio.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derecho pensionario de la parte actora nació durante la vigencia del texto que la ley del Instituto de 1983 daba a su artículo 57, el cual ordenaba el ajuste anual conforme al Índice Nacional de Precios al Consumidor o a los sueldos básicos del personal en activo, lo que resultara mayor; su titular negó lisa y llanamente que ese mecanismo se haya aplicado, y la autoridad, obligada a expresar y probar los fundamentos de su negativa, no acreditó haberlo observado.</w:t>
      </w:r>
    </w:p>
    <w:p>
      <w:pPr>
        <w:spacing w:line="360" w:lineRule="auto"/>
        <w:jc w:val="both"/>
      </w:pPr>
      <w:r>
        <w:rPr>
          <w:rFonts w:ascii="Arial" w:hAnsi="Arial"/>
          <w:b w:val="0"/>
          <w:i w:val="0"/>
          <w:sz w:val="28"/>
        </w:rPr>
        <w:t>Por lo expuesto, procede declarar fundado este concepto de impugnación y decretar la nulidad de la negativa ficta con apoyo en el artículo 51, fracción IV, de la Ley Federal de Procedimiento Contencioso Administrativo.</w:t>
      </w:r>
    </w:p>
    <w:p>
      <w:pPr>
        <w:spacing w:line="360" w:lineRule="auto"/>
        <w:jc w:val="both"/>
      </w:pPr>
      <w:r>
        <w:rPr>
          <w:rFonts w:ascii="Arial" w:hAnsi="Arial"/>
          <w:b w:val="0"/>
          <w:i w:val="0"/>
          <w:sz w:val="28"/>
        </w:rPr>
        <w:t>Con sustento en el numeral 52, fracciones IV y V, incisos a) y b), del mismo ordenamiento, se solicita reconocer el derecho de la parte actora a que su pensión se incremente conforme al mecanismo descrito y precisar que la nulidad se decreta para el efecto de que la autoridad, sin suspender el pago, emita una nueva resolución.</w:t>
      </w:r>
    </w:p>
    <w:p>
      <w:pPr>
        <w:spacing w:line="360" w:lineRule="auto"/>
        <w:jc w:val="both"/>
      </w:pPr>
      <w:r>
        <w:rPr>
          <w:rFonts w:ascii="Arial" w:hAnsi="Arial"/>
          <w:b w:val="0"/>
          <w:i w:val="0"/>
          <w:sz w:val="28"/>
        </w:rPr>
        <w:t xml:space="preserve">En esa resolución deberá calcular cada ajuste anual a partir de </w:t>
      </w:r>
      <w:r>
        <w:rPr>
          <w:rFonts w:ascii="Arial" w:hAnsi="Arial"/>
          <w:b/>
          <w:i w:val="0"/>
          <w:sz w:val="28"/>
        </w:rPr>
        <w:t>[PRIMER AÑO DE INCREMENTOS RECLAMADOS]</w:t>
      </w:r>
      <w:r>
        <w:rPr>
          <w:rFonts w:ascii="Arial" w:hAnsi="Arial"/>
          <w:b w:val="0"/>
          <w:i w:val="0"/>
          <w:sz w:val="28"/>
        </w:rPr>
        <w:t xml:space="preserve"> con el Índice Nacional de Precios al Consumidor del año anterior o con el alza de los sueldos básicos del puesto, lo que resulte mayor, y detallar el procedimiento seguido en los distintos ejercicios, de manera que la cuantía así obtenida sirva de base para los aumentos posteriores.</w:t>
      </w:r>
    </w:p>
    <w:p>
      <w:pPr>
        <w:spacing w:line="360" w:lineRule="auto"/>
        <w:jc w:val="both"/>
      </w:pPr>
      <w:r>
        <w:rPr>
          <w:rFonts w:ascii="Arial" w:hAnsi="Arial"/>
          <w:b w:val="0"/>
          <w:i w:val="0"/>
          <w:sz w:val="28"/>
        </w:rPr>
        <w:t>Se pide, asimismo, que se condene a la autoridad a pagar las diferencias que resulten, junto con las que se reflejen en la gratificación anual, debidamente actualizadas conforme al procedimiento del artículo 6, fracción II, de la Ley del Impuesto sobre la Renta, mecanismo de actualización que una Sala Regional de este Tribunal incluyó entre los efectos de una nulidad decretada en un caso análogo, todo ello dentro del plazo que fija el numeral 52 del ordenamiento procesal para el cumplimiento de las sentencias.</w:t>
      </w:r>
    </w:p>
    <w:p>
      <w:pPr>
        <w:spacing w:line="360" w:lineRule="auto"/>
        <w:jc w:val="both"/>
      </w:pPr>
      <w:r>
        <w:rPr>
          <w:rFonts w:ascii="Arial" w:hAnsi="Arial"/>
          <w:b w:val="0"/>
          <w:i w:val="0"/>
          <w:sz w:val="28"/>
        </w:rPr>
        <w:t>Finalmente, la parte actora se reserva la facultad de ampliar la demanda conforme al artículo 17, fracción I, de la ley procesal, para controvertir los hechos y el derecho que la autoridad exprese al contestar, y pide que la Sala fije con precisión los términos del cálculo, como lo permite el numeral 52 de ese ordenamiento cuando la nulidad se decreta para efectos, a fin de que el cumplimiento no reabra la controversia.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89.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FALCÓN, Enrique; ROJAS, Jorge, </w:t>
      </w:r>
      <w:r>
        <w:rPr>
          <w:rFonts w:ascii="Arial" w:hAnsi="Arial"/>
          <w:i/>
          <w:sz w:val="20"/>
        </w:rPr>
        <w:t>Cómo se hace un alegato</w:t>
      </w:r>
      <w:r>
        <w:rPr>
          <w:rFonts w:ascii="Arial" w:hAnsi="Arial"/>
          <w:i w:val="0"/>
          <w:sz w:val="20"/>
        </w:rPr>
        <w:t>, Abeledo-Perrot, Buenos Aires, 1998, p. 59.</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53.</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GARCÍA DAMBORENEA, op. cit.</w:t>
      </w:r>
      <w:r>
        <w:rPr>
          <w:rFonts w:ascii="Arial" w:hAnsi="Arial"/>
          <w:i w:val="0"/>
          <w:sz w:val="20"/>
        </w:rPr>
        <w:t>, p. 54.</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73.</w:t>
      </w:r>
    </w:p>
    <w:p/>
    <w:p>
      <w:r>
        <w:rPr>
          <w:rFonts w:ascii="Arial" w:hAnsi="Arial"/>
          <w:b/>
          <w:sz w:val="22"/>
        </w:rPr>
        <w:t>BIBLIOGRAFÍA</w:t>
      </w:r>
    </w:p>
    <w:p>
      <w:pPr>
        <w:spacing w:after="60"/>
        <w:ind w:left="360" w:hanging="360"/>
        <w:jc w:val="both"/>
      </w:pPr>
      <w:r>
        <w:rPr>
          <w:rFonts w:ascii="Arial" w:hAnsi="Arial"/>
          <w:i w:val="0"/>
          <w:sz w:val="20"/>
        </w:rPr>
        <w:t xml:space="preserve">FALCÓN, Enrique; ROJAS, Jorge, </w:t>
      </w:r>
      <w:r>
        <w:rPr>
          <w:rFonts w:ascii="Arial" w:hAnsi="Arial"/>
          <w:i/>
          <w:sz w:val="20"/>
        </w:rPr>
        <w:t>Cómo se hace un alegato</w:t>
      </w:r>
      <w:r>
        <w:rPr>
          <w:rFonts w:ascii="Arial" w:hAnsi="Arial"/>
          <w:i w:val="0"/>
          <w:sz w:val="20"/>
        </w:rPr>
        <w:t>, Abeledo-Perrot, Buenos Aires, 1998.</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