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INGRESOS PRESUNTOS AL FIDEICOMISARIO CON LA CONTABILIDAD DE LA FIDUCIARIA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a tu demanda de nulidad. Empieza por reconstruir la ruta de las cifras: localiza en la resolución impugnada y en la recurrida el párrafo donde la autoridad dice de dónde tomó los ingresos, marca la página en que reconoce que provienen de la contabilidad de la fiduciaria o del informe del auditor del fideicomiso, y contrasta esa cifra con la balanza de comprobación, con el papel de trabajo de ingresos y egresos y con la determinación del resultado fiscal del fideicomiso.</w:t>
      </w:r>
    </w:p>
    <w:p>
      <w:pPr>
        <w:spacing w:line="360" w:lineRule="auto"/>
        <w:jc w:val="both"/>
      </w:pPr>
      <w:r>
        <w:rPr>
          <w:rFonts w:ascii="Arial" w:hAnsi="Arial"/>
          <w:b w:val="0"/>
          <w:i w:val="0"/>
          <w:sz w:val="24"/>
        </w:rPr>
        <w:t>Después llena los campos editables y ofrece desde la demanda la prueba pericial contable, con un cuestionario que pida al perito precisar el origen de cada cifra, el importe de los egresos y de la pérdida fiscal, la proporción de los pagos provisionales enterados por la fiduciaria y si los ingresos nominales del pago provisional derivan de las mismas cuentas ya consideradas. Conserva la pretensión principal y la subsidiaria: anular la presuntiva no equivale a que se ordene la devolución. Recuerda que la demanda de nulidad se presenta dentro de los treinta días que fija el artículo 58-2, párrafo tercero, de la Ley Federal de Procedimiento Contencioso Administrativo.Antes de presentar, verifica la vía: el machote está escrito para el juicio de resolución exclusiva de fondo e invoca el supuesto de nulidad que la Ley Federal de Procedimiento Contencioso Administrativo prevé para esa modalidad, así que en el juicio ordinario debes sustituirlo por la causal de ilegalidad que corresponde a esa vía y citar el precepto conforme al texto vigente.</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val="0"/>
          <w:i w:val="0"/>
          <w:sz w:val="24"/>
        </w:rPr>
        <w:t>NÚMERO ORDINAL DEL CONCEPTO: el lugar que ocupa este concepto en tu demanda, en ordinal (PRIMERO, SEGUNDO).</w:t>
      </w:r>
    </w:p>
    <w:p>
      <w:pPr>
        <w:spacing w:line="360" w:lineRule="auto"/>
        <w:jc w:val="both"/>
      </w:pPr>
      <w:r>
        <w:rPr>
          <w:rFonts w:ascii="Arial" w:hAnsi="Arial"/>
          <w:b w:val="0"/>
          <w:i w:val="0"/>
          <w:sz w:val="24"/>
        </w:rPr>
        <w:t>NOMBRE DE LA PARTE ACTORA: la denominación social o el nombre de tu representado, tal como aparece en la resolución.</w:t>
      </w:r>
    </w:p>
    <w:p>
      <w:pPr>
        <w:spacing w:line="360" w:lineRule="auto"/>
        <w:jc w:val="both"/>
      </w:pPr>
      <w:r>
        <w:rPr>
          <w:rFonts w:ascii="Arial" w:hAnsi="Arial"/>
          <w:b w:val="0"/>
          <w:i w:val="0"/>
          <w:sz w:val="24"/>
        </w:rPr>
        <w:t>AUTORIDAD DEMANDADA: la autoridad que emitió la resolución impugnada, con su denominación completa.</w:t>
      </w:r>
    </w:p>
    <w:p>
      <w:pPr>
        <w:spacing w:line="360" w:lineRule="auto"/>
        <w:jc w:val="both"/>
      </w:pPr>
      <w:r>
        <w:rPr>
          <w:rFonts w:ascii="Arial" w:hAnsi="Arial"/>
          <w:b w:val="0"/>
          <w:i w:val="0"/>
          <w:sz w:val="24"/>
        </w:rPr>
        <w:t>NÚMERO DE OFICIO DE LA RESOLUCIÓN IMPUGNADA y FECHA DE LA RESOLUCIÓN IMPUGNADA: los datos del oficio que resolvió el recurso de revocación o del acto que impugnas directamente.</w:t>
      </w:r>
    </w:p>
    <w:p>
      <w:pPr>
        <w:spacing w:line="360" w:lineRule="auto"/>
        <w:jc w:val="both"/>
      </w:pPr>
      <w:r>
        <w:rPr>
          <w:rFonts w:ascii="Arial" w:hAnsi="Arial"/>
          <w:b w:val="0"/>
          <w:i w:val="0"/>
          <w:sz w:val="24"/>
        </w:rPr>
        <w:t>NÚMERO DE OFICIO DE LA RESOLUCIÓN RECURRIDA: el oficio de origen que negó la devolución o determinó el crédito.</w:t>
      </w:r>
    </w:p>
    <w:p>
      <w:pPr>
        <w:spacing w:line="360" w:lineRule="auto"/>
        <w:jc w:val="both"/>
      </w:pPr>
      <w:r>
        <w:rPr>
          <w:rFonts w:ascii="Arial" w:hAnsi="Arial"/>
          <w:b w:val="0"/>
          <w:i w:val="0"/>
          <w:sz w:val="24"/>
        </w:rPr>
        <w:t>FECHA DE NOTIFICACIÓN DE LA RESOLUCIÓN IMPUGNADA: la fecha en que se practicó la notificación, para acreditar la oportunidad.</w:t>
      </w:r>
    </w:p>
    <w:p>
      <w:pPr>
        <w:spacing w:line="360" w:lineRule="auto"/>
        <w:jc w:val="both"/>
      </w:pPr>
      <w:r>
        <w:rPr>
          <w:rFonts w:ascii="Arial" w:hAnsi="Arial"/>
          <w:b w:val="0"/>
          <w:i w:val="0"/>
          <w:sz w:val="24"/>
        </w:rPr>
        <w:t>EJERCICIO FISCAL REVISADO: el ejercicio al que corresponde el saldo a favor o la determinación.</w:t>
      </w:r>
    </w:p>
    <w:p>
      <w:pPr>
        <w:spacing w:line="360" w:lineRule="auto"/>
        <w:jc w:val="both"/>
      </w:pPr>
      <w:r>
        <w:rPr>
          <w:rFonts w:ascii="Arial" w:hAnsi="Arial"/>
          <w:b w:val="0"/>
          <w:i w:val="0"/>
          <w:sz w:val="24"/>
        </w:rPr>
        <w:t>MONTO DEL SALDO A FAVOR SOLICITADO: la cantidad cuya devolución se pidió, con centavos.</w:t>
      </w:r>
    </w:p>
    <w:p>
      <w:pPr>
        <w:spacing w:line="360" w:lineRule="auto"/>
        <w:jc w:val="both"/>
      </w:pPr>
      <w:r>
        <w:rPr>
          <w:rFonts w:ascii="Arial" w:hAnsi="Arial"/>
          <w:b w:val="0"/>
          <w:i w:val="0"/>
          <w:sz w:val="24"/>
        </w:rPr>
        <w:t>DENOMINACIÓN DE LA INSTITUCIÓN FIDUCIARIA: la institución de crédito que actúa como fiduciaria del fideicomiso.</w:t>
      </w:r>
    </w:p>
    <w:p>
      <w:pPr>
        <w:spacing w:line="360" w:lineRule="auto"/>
        <w:jc w:val="both"/>
      </w:pPr>
      <w:r>
        <w:rPr>
          <w:rFonts w:ascii="Arial" w:hAnsi="Arial"/>
          <w:b w:val="0"/>
          <w:i w:val="0"/>
          <w:sz w:val="24"/>
        </w:rPr>
        <w:t>PORCENTAJE DE PARTICIPACIÓN EN EL FIDEICOMISO: el porcentaje que el contrato o su anexo asigna a tu representado.</w:t>
      </w:r>
    </w:p>
    <w:p>
      <w:pPr>
        <w:spacing w:line="360" w:lineRule="auto"/>
        <w:jc w:val="both"/>
      </w:pPr>
      <w:r>
        <w:rPr>
          <w:rFonts w:ascii="Arial" w:hAnsi="Arial"/>
          <w:b w:val="0"/>
          <w:i w:val="0"/>
          <w:sz w:val="24"/>
        </w:rPr>
        <w:t>MONTO DE LOS INGRESOS PRESUNTOS DETERMINADOS: la cifra total que la autoridad tuvo por ingreso omitido; si la resolución la presenta desglosada, incluye ambas cantidades.</w:t>
      </w:r>
    </w:p>
    <w:p>
      <w:pPr>
        <w:spacing w:line="360" w:lineRule="auto"/>
        <w:jc w:val="both"/>
      </w:pPr>
      <w:r>
        <w:rPr>
          <w:rFonts w:ascii="Arial" w:hAnsi="Arial"/>
          <w:b w:val="0"/>
          <w:i w:val="0"/>
          <w:sz w:val="24"/>
        </w:rPr>
        <w:t>PÁGINA DE LA RESOLUCIÓN DONDE LA AUTORIDAD RECONOCE EL ORIGEN DE LAS CIFRAS: la foja exacta del reconocimiento, porque es el punto que opera como confesión expresa.</w:t>
      </w:r>
    </w:p>
    <w:p>
      <w:pPr>
        <w:spacing w:line="360" w:lineRule="auto"/>
        <w:jc w:val="both"/>
      </w:pPr>
      <w:r>
        <w:rPr>
          <w:rFonts w:ascii="Arial" w:hAnsi="Arial"/>
          <w:b w:val="0"/>
          <w:i w:val="0"/>
          <w:sz w:val="24"/>
        </w:rPr>
        <w:t>MONTO DE LOS EGRESOS CONTABLES DEL FIDEICOMISO: el importe que la autoridad omitió restar, tomado del papel de trabajo o de la balanza.</w:t>
      </w:r>
    </w:p>
    <w:p>
      <w:pPr>
        <w:spacing w:line="360" w:lineRule="auto"/>
        <w:jc w:val="both"/>
      </w:pPr>
      <w:r>
        <w:rPr>
          <w:rFonts w:ascii="Arial" w:hAnsi="Arial"/>
          <w:b w:val="0"/>
          <w:i w:val="0"/>
          <w:sz w:val="24"/>
        </w:rPr>
        <w:t>MONTO DE LOS PAGOS PROVISIONALES EFECTUADOS POR LA FIDUCIARIA: lo enterado por la fiduciaria en el ejercicio, para reclamar la proporción acreditable.</w:t>
      </w:r>
    </w:p>
    <w:p/>
    <w:p>
      <w:pPr>
        <w:spacing w:line="360" w:lineRule="auto"/>
        <w:jc w:val="both"/>
      </w:pPr>
      <w:r>
        <w:rPr>
          <w:rFonts w:ascii="Arial" w:hAnsi="Arial"/>
          <w:b/>
          <w:sz w:val="28"/>
        </w:rPr>
        <w:t>[NÚMERO ORDINAL DEL CONCEPTO] CONCEPTO DE IMPUGNACIÓN. Ilegalidad de la determinación presuntiva de ingresos a cargo de la persona fideicomisaria con apoyo en la contabilidad de la fiduciaria. La autoridad aplicó el artículo 59, fracción I, del Código Fiscal de la Federación sobre documentación de un tercero, sin demostrar que alguna operación fuera realizada por la parte actora, y desatendió el artículo 13 de la Ley del Impuesto sobre la Renta; en la vía de resolución exclusiva de fondo se actualiza el supuesto de nulidad del artículo 58-27, fracción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dictada por la </w:t>
      </w:r>
      <w:r>
        <w:rPr>
          <w:rFonts w:ascii="Arial" w:hAnsi="Arial"/>
          <w:b/>
          <w:i w:val="0"/>
          <w:sz w:val="28"/>
        </w:rPr>
        <w:t>[AUTORIDAD DEMANDADA]</w:t>
      </w:r>
      <w:r>
        <w:rPr>
          <w:rFonts w:ascii="Arial" w:hAnsi="Arial"/>
          <w:b w:val="0"/>
          <w:i w:val="0"/>
          <w:sz w:val="28"/>
        </w:rPr>
        <w:t xml:space="preserve">, es ilegal porque confirmó una determinación presuntiva de ingresos acumulables y nominales a cargo de </w:t>
      </w:r>
      <w:r>
        <w:rPr>
          <w:rFonts w:ascii="Arial" w:hAnsi="Arial"/>
          <w:b/>
          <w:i w:val="0"/>
          <w:sz w:val="28"/>
        </w:rPr>
        <w:t>[NOMBRE DE LA PARTE ACTORA]</w:t>
      </w:r>
      <w:r>
        <w:rPr>
          <w:rFonts w:ascii="Arial" w:hAnsi="Arial"/>
          <w:b w:val="0"/>
          <w:i w:val="0"/>
          <w:sz w:val="28"/>
        </w:rPr>
        <w:t xml:space="preserve">, por </w:t>
      </w:r>
      <w:r>
        <w:rPr>
          <w:rFonts w:ascii="Arial" w:hAnsi="Arial"/>
          <w:b/>
          <w:i w:val="0"/>
          <w:sz w:val="28"/>
        </w:rPr>
        <w:t>[MONTO DE LOS INGRESOS PRESUNTOS DETERMINADOS]</w:t>
      </w:r>
      <w:r>
        <w:rPr>
          <w:rFonts w:ascii="Arial" w:hAnsi="Arial"/>
          <w:b w:val="0"/>
          <w:i w:val="0"/>
          <w:sz w:val="28"/>
        </w:rPr>
        <w:t xml:space="preserve">, construida en su integridad sobre la contabilidad de un tercero: la institución fiduciaria </w:t>
      </w:r>
      <w:r>
        <w:rPr>
          <w:rFonts w:ascii="Arial" w:hAnsi="Arial"/>
          <w:b/>
          <w:i w:val="0"/>
          <w:sz w:val="28"/>
        </w:rPr>
        <w:t>[DENOMINACIÓN DE LA INSTITUCIÓN FIDUCIARIA]</w:t>
      </w:r>
      <w:r>
        <w:rPr>
          <w:rFonts w:ascii="Arial" w:hAnsi="Arial"/>
          <w:b w:val="0"/>
          <w:i w:val="0"/>
          <w:sz w:val="28"/>
        </w:rPr>
        <w:t>.</w:t>
      </w:r>
    </w:p>
    <w:p>
      <w:pPr>
        <w:spacing w:line="360" w:lineRule="auto"/>
        <w:jc w:val="both"/>
      </w:pPr>
      <w:r>
        <w:rPr>
          <w:rFonts w:ascii="Arial" w:hAnsi="Arial"/>
          <w:b w:val="0"/>
          <w:i w:val="0"/>
          <w:sz w:val="28"/>
        </w:rPr>
        <w:t>La premisa normativa es la del artículo 13 de la Ley del Impuesto sobre la Renta. Cuando se realizan actividades empresariales a través de un fideicomiso, es la institución fiduciaria quien determina, en los términos del Título II de esa ley, el resultado o la pérdida fiscal de dichas actividades en cada ejercicio, quien cumple por cuenta del conjunto de los fideicomisarios las obligaciones que la ley impone —incluso la de efectuar pagos provisionales— y quien expide los comprobantes fiscales en que consten los ingresos y las retenciones.</w:t>
      </w:r>
    </w:p>
    <w:p>
      <w:pPr>
        <w:spacing w:line="360" w:lineRule="auto"/>
        <w:jc w:val="both"/>
      </w:pPr>
      <w:r>
        <w:rPr>
          <w:rFonts w:ascii="Arial" w:hAnsi="Arial"/>
          <w:b w:val="0"/>
          <w:i w:val="0"/>
          <w:sz w:val="28"/>
        </w:rPr>
        <w:t>De esa premisa se sigue con precisión lo que la parte actora debía acumular y lo que no. Los fideicomisarios acumulan a sus demás ingresos del ejercicio la parte del resultado fiscal que les corresponde de acuerdo con lo estipulado en el contrato, y acreditan en esa misma proporción los pagos provisionales efectuados por la fiduciaria; la ley no les traslada los ingresos brutos del fideicomiso ni les impone conservar la contabilidad que ella misma pone a cargo de la institución fiduciaria.</w:t>
      </w:r>
    </w:p>
    <w:p>
      <w:pPr>
        <w:spacing w:line="360" w:lineRule="auto"/>
        <w:jc w:val="both"/>
      </w:pPr>
      <w:r>
        <w:rPr>
          <w:rFonts w:ascii="Arial" w:hAnsi="Arial"/>
          <w:b w:val="0"/>
          <w:i w:val="0"/>
          <w:sz w:val="28"/>
        </w:rPr>
        <w:t>Se demostrará, además, que la presunción del artículo 59, primer párrafo, fracción I, del Código Fiscal de la Federación descansa en dos supuestos y que la autoridad no acreditó el segundo: que la información contenida en la contabilidad, la documentación comprobatoria y la correspondencia se encuentren en poder de la persona contribuyente y la identifiquen aun cuando aparezcan a nombre de otra, y que se demuestre que al menos una de las operaciones contenidas en esos elementos fue realizada por ella.</w:t>
      </w:r>
    </w:p>
    <w:p>
      <w:pPr>
        <w:spacing w:line="360" w:lineRule="auto"/>
        <w:jc w:val="both"/>
      </w:pPr>
      <w:r>
        <w:rPr>
          <w:rFonts w:ascii="Arial" w:hAnsi="Arial"/>
          <w:b w:val="0"/>
          <w:i w:val="0"/>
          <w:sz w:val="28"/>
        </w:rPr>
        <w:t>Se demostrará, por último, que aun si la presunción fuera aplicable, la cifra determinada resulta aritméticamente insostenible, porque se tomaron ingresos brutos sin disminuir los egresos contables ni la pérdida fiscal del fideicomiso, no se acreditó la parte proporcional de los pagos provisionales enterados por la fiduciaria y se duplicaron ingresos, pues los nominales declarados en el pago provisional derivan de las mismas cuentas de la balanza ya consideradas.</w:t>
      </w:r>
    </w:p>
    <w:p>
      <w:pPr>
        <w:spacing w:line="360" w:lineRule="auto"/>
        <w:jc w:val="both"/>
      </w:pPr>
      <w:r>
        <w:rPr>
          <w:rFonts w:ascii="Arial" w:hAnsi="Arial"/>
          <w:b w:val="0"/>
          <w:i w:val="0"/>
          <w:sz w:val="28"/>
        </w:rPr>
        <w:t>Si estas premisas se respetan, la conclusión es forzosa: la resolución impugnada apreció los hechos en forma equivocada y aplicó indebidamente las disposiciones que invoca, de modo que procede declarar su nulidad conforme al artículo 58-27, fracción II, de la Ley Federal de Procedimiento Contencioso Administrativo, si el juicio se sigue en la vía de resolución exclusiva de fondo, o conforme a la causal de ilegalidad que esa misma ley prevé para el juicio ordinario.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contenida en el oficio </w:t>
      </w:r>
      <w:r>
        <w:rPr>
          <w:rFonts w:ascii="Arial" w:hAnsi="Arial"/>
          <w:b/>
          <w:i w:val="0"/>
          <w:sz w:val="28"/>
        </w:rPr>
        <w:t>[NÚMERO DE OFICIO DE LA RESOLUCIÓN IMPUGNADA]</w:t>
      </w:r>
      <w:r>
        <w:rPr>
          <w:rFonts w:ascii="Arial" w:hAnsi="Arial"/>
          <w:b w:val="0"/>
          <w:i w:val="0"/>
          <w:sz w:val="28"/>
        </w:rPr>
        <w:t xml:space="preserve">, que confirmó, al resolver el recurso de revocación, la diversa contenida en el oficio </w:t>
      </w:r>
      <w:r>
        <w:rPr>
          <w:rFonts w:ascii="Arial" w:hAnsi="Arial"/>
          <w:b/>
          <w:i w:val="0"/>
          <w:sz w:val="28"/>
        </w:rPr>
        <w:t>[NÚMERO DE OFICIO DE LA RESOLUCIÓN RECURRIDA]</w:t>
      </w:r>
      <w:r>
        <w:rPr>
          <w:rFonts w:ascii="Arial" w:hAnsi="Arial"/>
          <w:b w:val="0"/>
          <w:i w:val="0"/>
          <w:sz w:val="28"/>
        </w:rPr>
        <w:t xml:space="preserve">, por la cual se negó a la parte actora la devolución del saldo a favor del impuesto sobre la renta del ejercicio </w:t>
      </w:r>
      <w:r>
        <w:rPr>
          <w:rFonts w:ascii="Arial" w:hAnsi="Arial"/>
          <w:b/>
          <w:i w:val="0"/>
          <w:sz w:val="28"/>
        </w:rPr>
        <w:t>[EJERCICIO FISCAL REVISADO]</w:t>
      </w:r>
      <w:r>
        <w:rPr>
          <w:rFonts w:ascii="Arial" w:hAnsi="Arial"/>
          <w:b w:val="0"/>
          <w:i w:val="0"/>
          <w:sz w:val="28"/>
        </w:rPr>
        <w:t xml:space="preserve">, en cantidad de </w:t>
      </w:r>
      <w:r>
        <w:rPr>
          <w:rFonts w:ascii="Arial" w:hAnsi="Arial"/>
          <w:b/>
          <w:i w:val="0"/>
          <w:sz w:val="28"/>
        </w:rPr>
        <w:t>[MONTO DEL SALDO A FAVOR SOLICITADO]</w:t>
      </w:r>
      <w:r>
        <w:rPr>
          <w:rFonts w:ascii="Arial" w:hAnsi="Arial"/>
          <w:b w:val="0"/>
          <w:i w:val="0"/>
          <w:sz w:val="28"/>
        </w:rPr>
        <w:t>. La negativa se sostuvo, esencialmente, en la determinación presuntiva que aquí se combate.</w:t>
      </w:r>
    </w:p>
    <w:p>
      <w:pPr>
        <w:spacing w:line="360" w:lineRule="auto"/>
        <w:jc w:val="both"/>
      </w:pPr>
      <w:r>
        <w:rPr>
          <w:rFonts w:ascii="Arial" w:hAnsi="Arial"/>
          <w:b w:val="0"/>
          <w:i w:val="0"/>
          <w:sz w:val="28"/>
        </w:rPr>
        <w:t xml:space="preserve">La demanda se presenta dentro del plazo de treinta días que fija el artículo 58-2, párrafo tercero, de la Ley Federal de Procedimiento Contencioso Administrativo, contado a partir de que surtió efectos la notificación practicada el </w:t>
      </w:r>
      <w:r>
        <w:rPr>
          <w:rFonts w:ascii="Arial" w:hAnsi="Arial"/>
          <w:b/>
          <w:i w:val="0"/>
          <w:sz w:val="28"/>
        </w:rPr>
        <w:t>[FECHA DE NOTIFICACIÓN DE LA RESOLUCIÓN IMPUGNADA]</w:t>
      </w:r>
      <w:r>
        <w:rPr>
          <w:rFonts w:ascii="Arial" w:hAnsi="Arial"/>
          <w:b w:val="0"/>
          <w:i w:val="0"/>
          <w:sz w:val="28"/>
        </w:rPr>
        <w:t>.</w:t>
      </w:r>
    </w:p>
    <w:p>
      <w:pPr>
        <w:spacing w:line="360" w:lineRule="auto"/>
        <w:jc w:val="both"/>
      </w:pPr>
      <w:r>
        <w:rPr>
          <w:rFonts w:ascii="Arial" w:hAnsi="Arial"/>
          <w:b w:val="0"/>
          <w:i w:val="0"/>
          <w:sz w:val="28"/>
        </w:rPr>
        <w:t>Las normas cuya inobservancia se plantea son el artículo 13 de la Ley del Impuesto sobre la Renta, que fija el régimen fiscal de las actividades empresariales realizadas a través de fideicomiso, y el artículo 59, primer párrafo, fracción I, del Código Fiscal de la Federación, que condiciona la presunción a los dos supuestos ya enunciados.</w:t>
      </w:r>
    </w:p>
    <w:p>
      <w:pPr>
        <w:spacing w:line="360" w:lineRule="auto"/>
        <w:jc w:val="both"/>
      </w:pPr>
      <w:r>
        <w:rPr>
          <w:rFonts w:ascii="Arial" w:hAnsi="Arial"/>
          <w:b w:val="0"/>
          <w:i w:val="0"/>
          <w:sz w:val="28"/>
        </w:rPr>
        <w:t>Se invocan también los artículos 14, párrafo segundo, y 16, párrafo primero, de la Constitución Política de los Estados Unidos Mexicanos, conforme a los cuales nadie puede ser privado de sus propiedades sino mediante juicio en el que se cumplan las formalidades esenciales del procedimiento, ni molestado en sus papeles o posesiones sino en virtud de mandamiento escrito de autoridad competente que funde y motive la causa legal del procedimiento.</w:t>
      </w:r>
    </w:p>
    <w:p>
      <w:pPr>
        <w:spacing w:line="360" w:lineRule="auto"/>
        <w:jc w:val="both"/>
      </w:pPr>
      <w:r>
        <w:rPr>
          <w:rFonts w:ascii="Arial" w:hAnsi="Arial"/>
          <w:b w:val="0"/>
          <w:i w:val="0"/>
          <w:sz w:val="28"/>
        </w:rPr>
        <w:t>El perjuicio es concreto y cuantificable. Al atribuir a la parte actora ingresos que nunca obtuvo, la autoridad la colocó artificialmente en una situación de omisión de ingresos, y con ese solo dato negó la devolución del saldo a favor que había solicitado, pese a que ese saldo se integró con pagos provisionales y retenciones cuyo entero se acredita con las constancias que se acompañan a esta demanda. La determinación, además, no se agota en el ejercicio revisado: sirve de antecedente para futuras fiscalizaciones y para la eventual determinación de un crédito fiscal.</w:t>
      </w:r>
    </w:p>
    <w:p>
      <w:pPr>
        <w:spacing w:line="360" w:lineRule="auto"/>
        <w:jc w:val="both"/>
      </w:pPr>
      <w:r>
        <w:rPr>
          <w:rFonts w:ascii="Arial" w:hAnsi="Arial"/>
          <w:b w:val="0"/>
          <w:i w:val="0"/>
          <w:sz w:val="28"/>
        </w:rPr>
        <w:t>De prosperar este concepto, el beneficio es el mayor posible dentro del juicio, porque la presuntiva es el sustento principal de la negativa: removida ella, desaparece la razón central por la cual se rechazó la devolución y queda expedito el análisis del derecho subjetivo.</w:t>
      </w:r>
    </w:p>
    <w:p>
      <w:pPr>
        <w:spacing w:line="360" w:lineRule="auto"/>
        <w:jc w:val="both"/>
      </w:pPr>
      <w:r>
        <w:rPr>
          <w:rFonts w:ascii="Arial" w:hAnsi="Arial"/>
          <w:b w:val="0"/>
          <w:i w:val="0"/>
          <w:sz w:val="28"/>
        </w:rPr>
        <w:t>Conviene una precisión de estrategia procesal, porque el fundamento de la nulidad cambia con la vía elegida. Si el asunto se ventila en el juicio de resolución exclusiva de fondo, al que la Ley Federal de Procedimiento Contencioso Administrativo destina un régimen propio, el artículo 58-17 impone a la parte actora la carga de demostrar que la actuación combatida no produjo omisión en el pago de contribuciones, el artículo 58-19, primer párrafo, fracción II, ordena tener por no formulados los conceptos de forma o de procedimiento, y la nulidad se declara conforme a los artículos 58-27, fracción II, y 58-28 de esa ley.</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Conviene partir del diseño legal del fideicomiso empresarial. El artículo 13 de la Ley del Impuesto sobre la Renta no reparte las obligaciones al azar: coloca en la institución fiduciaria la determinación del resultado o la pérdida fiscal del ejercicio, el cumplimiento de las obligaciones de la ley por cuenta del conjunto de los fideicomisarios y la expedición de los comprobantes fiscales de ingresos y retenciones; y coloca en el fideicomisario un deber correlativo y limitado, el de acumular la parte del resultado fiscal que le corresponda y acreditar en esa proporción los pagos provisionales efectuados por la fiduciaria.</w:t>
      </w:r>
    </w:p>
    <w:p>
      <w:pPr>
        <w:spacing w:line="360" w:lineRule="auto"/>
        <w:jc w:val="both"/>
      </w:pPr>
      <w:r>
        <w:rPr>
          <w:rFonts w:ascii="Arial" w:hAnsi="Arial"/>
          <w:b w:val="0"/>
          <w:i w:val="0"/>
          <w:sz w:val="28"/>
        </w:rPr>
        <w:t>La consecuencia probatoria de ese diseño es inmediata. Si quien lleva la contabilidad del patrimonio fideicomitido, determina el resultado fiscal y entera los pagos provisionales es la fiduciaria, entonces el soporte contable y documental de ese cumplimiento recae en ella y no en cada fideicomisario. Sólo en el supuesto de que se determine un incumplimiento a cargo de la institución fiduciaria puede discutirse la responsabilidad de los fideicomisarios, y ese es un presupuesto que la autoridad debe acreditar previamente, no suponer.</w:t>
      </w:r>
    </w:p>
    <w:p>
      <w:pPr>
        <w:spacing w:line="360" w:lineRule="auto"/>
        <w:jc w:val="both"/>
      </w:pPr>
      <w:r>
        <w:rPr>
          <w:rFonts w:ascii="Arial" w:hAnsi="Arial"/>
          <w:b w:val="0"/>
          <w:i w:val="0"/>
          <w:sz w:val="28"/>
        </w:rPr>
        <w:t>Debe distinguirse, enseguida, entre presumir y probar. La presunción legal no crea hechos: autoriza a tener por cierto un hecho desconocido a partir de un hecho base plenamente acreditado, y por eso el relevo de prueba que concede opera sobre el hecho presumido, jamás sobre el hecho base. La carga de acreditar el supuesto de hecho de una norma pesa sobre quien la invoca en su beneficio.</w:t>
      </w:r>
      <w:r>
        <w:rPr>
          <w:rFonts w:ascii="Arial" w:hAnsi="Arial"/>
          <w:vertAlign w:val="superscript"/>
        </w:rPr>
        <w:t>1</w:t>
      </w:r>
      <w:r>
        <w:rPr>
          <w:rFonts w:ascii="Arial" w:hAnsi="Arial"/>
          <w:b w:val="0"/>
          <w:i w:val="0"/>
          <w:sz w:val="28"/>
        </w:rPr>
        <w:t xml:space="preserve"> Quien pretende presumir, en consecuencia, debe demostrar primero que se colocan las condiciones que la norma exige.</w:t>
      </w:r>
    </w:p>
    <w:p>
      <w:pPr>
        <w:spacing w:line="360" w:lineRule="auto"/>
        <w:jc w:val="both"/>
      </w:pPr>
      <w:r>
        <w:rPr>
          <w:rFonts w:ascii="Arial" w:hAnsi="Arial"/>
          <w:b w:val="0"/>
          <w:i w:val="0"/>
          <w:sz w:val="28"/>
        </w:rPr>
        <w:t xml:space="preserve">El artículo 59, primer párrafo, fracción I, del Código Fiscal de la Federación describe esas condiciones sin ambigüedad. Autoriza a presumir que la información contenida en la contabilidad, la documentación comprobatoria y la correspondencia </w:t>
      </w:r>
      <w:r>
        <w:rPr>
          <w:rFonts w:ascii="Arial" w:hAnsi="Arial"/>
          <w:b w:val="0"/>
          <w:i/>
          <w:sz w:val="28"/>
        </w:rPr>
        <w:t>“que se encuentren en poder del contribuyente, corresponde a operaciones celebradas por él”</w:t>
      </w:r>
      <w:r>
        <w:rPr>
          <w:rFonts w:ascii="Arial" w:hAnsi="Arial"/>
          <w:b w:val="0"/>
          <w:i w:val="0"/>
          <w:sz w:val="28"/>
        </w:rPr>
        <w:t xml:space="preserve">, aun cuando aparezcan sin su nombre o a nombre de otra persona, </w:t>
      </w:r>
      <w:r>
        <w:rPr>
          <w:rFonts w:ascii="Arial" w:hAnsi="Arial"/>
          <w:b w:val="0"/>
          <w:i/>
          <w:sz w:val="28"/>
        </w:rPr>
        <w:t>“siempre que se logre demostrar que al menos una de las operaciones o actividades contenidas en tales elementos, fue realizada por el contribuyente”</w:t>
      </w:r>
      <w:r>
        <w:rPr>
          <w:rFonts w:ascii="Arial" w:hAnsi="Arial"/>
          <w:b w:val="0"/>
          <w:i w:val="0"/>
          <w:sz w:val="28"/>
        </w:rPr>
        <w:t>.</w:t>
      </w:r>
    </w:p>
    <w:p>
      <w:pPr>
        <w:spacing w:line="360" w:lineRule="auto"/>
        <w:jc w:val="both"/>
      </w:pPr>
      <w:r>
        <w:rPr>
          <w:rFonts w:ascii="Arial" w:hAnsi="Arial"/>
          <w:b w:val="0"/>
          <w:i w:val="0"/>
          <w:sz w:val="28"/>
        </w:rPr>
        <w:t>De la lectura del precepto se desprenden, por tanto, dos supuestos acumulativos y no alternativos: la tenencia de los elementos por la persona contribuyente y su aptitud para identificarla, y, cuando la documentación aparece a nombre de un tercero, la demostración de que cuando menos una operación fue realizada por ella. El segundo requisito no es un adorno retórico: es precisamente el puente que permite atribuir a una persona operaciones que la documentación asigna a otra. Sin ese puente, la presunción carece de base y se convierte en una afirmación sin sustento.</w:t>
      </w:r>
    </w:p>
    <w:p>
      <w:pPr>
        <w:spacing w:line="360" w:lineRule="auto"/>
        <w:jc w:val="both"/>
      </w:pPr>
      <w:r>
        <w:rPr>
          <w:rFonts w:ascii="Arial" w:hAnsi="Arial"/>
          <w:b w:val="0"/>
          <w:i w:val="0"/>
          <w:sz w:val="28"/>
        </w:rPr>
        <w:t>La exigencia se refuerza desde la garantía de motivación. Los actos de autoridad deben expresar las razones de derecho y los motivos de hecho considerados para su dictado, y esos motivos deben ser reales, ciertos e investidos de fuerza legal suficiente, además de guardar adecuación con las normas aplicables al caso.</w:t>
      </w:r>
      <w:r>
        <w:rPr>
          <w:rFonts w:ascii="Arial" w:hAnsi="Arial"/>
          <w:vertAlign w:val="superscript"/>
        </w:rPr>
        <w:t>2</w:t>
      </w:r>
      <w:r>
        <w:rPr>
          <w:rFonts w:ascii="Arial" w:hAnsi="Arial"/>
          <w:b w:val="0"/>
          <w:i w:val="0"/>
          <w:sz w:val="28"/>
        </w:rPr>
        <w:t xml:space="preserve"> Una motivación que invoca el precepto correcto pero se apoya en hechos que no son los del contribuyente no satisface esa exigencia, porque rompe justamente el vínculo de adecuación.</w:t>
      </w:r>
    </w:p>
    <w:p>
      <w:pPr>
        <w:spacing w:line="360" w:lineRule="auto"/>
        <w:jc w:val="both"/>
      </w:pPr>
      <w:r>
        <w:rPr>
          <w:rFonts w:ascii="Arial" w:hAnsi="Arial"/>
          <w:b w:val="0"/>
          <w:i w:val="0"/>
          <w:sz w:val="28"/>
        </w:rPr>
        <w:t>Lo mismo se advierte desde la estructura del razonamiento. La premisa fáctica de toda decisión jurídica establece la relación de hechos probados relevantes para resolver, y justificarla consiste en aportar las razones que acreditan su corrección, razones que descansan en la valoración de la prueba.</w:t>
      </w:r>
      <w:r>
        <w:rPr>
          <w:rFonts w:ascii="Arial" w:hAnsi="Arial"/>
          <w:vertAlign w:val="superscript"/>
        </w:rPr>
        <w:t>3</w:t>
      </w:r>
      <w:r>
        <w:rPr>
          <w:rFonts w:ascii="Arial" w:hAnsi="Arial"/>
          <w:b w:val="0"/>
          <w:i w:val="0"/>
          <w:sz w:val="28"/>
        </w:rPr>
        <w:t xml:space="preserve"> Cuando la premisa fáctica se toma prestada de la contabilidad de un tercero, no hay hechos probados del contribuyente sobre los cuales pueda descansar conclusión alguna.</w:t>
      </w:r>
    </w:p>
    <w:p>
      <w:pPr>
        <w:spacing w:line="360" w:lineRule="auto"/>
        <w:jc w:val="both"/>
      </w:pPr>
      <w:r>
        <w:rPr>
          <w:rFonts w:ascii="Arial" w:hAnsi="Arial"/>
          <w:b w:val="0"/>
          <w:i w:val="0"/>
          <w:sz w:val="28"/>
        </w:rPr>
        <w:t>Resta una premisa aritmética que la autoridad no puede eludir ni siquiera cuando la presunción es procedente. El impuesto sobre la renta de las personas morales se calcula sobre el resultado fiscal, no sobre el ingreso bruto, conforme al artículo 9 de la Ley del Impuesto sobre la Renta; y el resultado fiscal del fideicomiso empresarial es el que arroja considerar los ingresos, restar las deducciones autorizadas y, en su caso, amortizar pérdidas fiscales de ejercicios anteriores. Tomar el ingreso bruto y llamarlo resultado fiscal es cambiar de magnitud a mitad del razonamiento.</w:t>
      </w:r>
    </w:p>
    <w:p>
      <w:pPr>
        <w:spacing w:line="360" w:lineRule="auto"/>
        <w:jc w:val="both"/>
      </w:pPr>
      <w:r>
        <w:rPr>
          <w:rFonts w:ascii="Arial" w:hAnsi="Arial"/>
          <w:b w:val="0"/>
          <w:i w:val="0"/>
          <w:sz w:val="28"/>
        </w:rPr>
        <w:t>Por último, la vía idónea para demostrar el desajuste aritmético es la prueba pericial contable, cuyo valor queda a la prudente apreciación de la Sala en términos de los artículos 46, fracción III, y 58-25 de la Ley Federal de Procedimiento Contencioso Administrativo, este último propio de la vía de resolución exclusiva de fondo. Un dictamen que se limita a reiterar los razonamientos de la fiscalizadora, sin aportar elemento técnico adicional, no puede prevalecer sobre el que sí explica el origen y la composición de las cifras.</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son sencillos y constan en la propia resolución. La autoridad conoció los ingresos registrados en la balanza de comprobación de la institución fiduciaria y los ingresos nominales que ésta declaró en su pago provisional; aplicó a ambas cifras el </w:t>
      </w:r>
      <w:r>
        <w:rPr>
          <w:rFonts w:ascii="Arial" w:hAnsi="Arial"/>
          <w:b/>
          <w:i w:val="0"/>
          <w:sz w:val="28"/>
        </w:rPr>
        <w:t>[PORCENTAJE DE PARTICIPACIÓN EN EL FIDEICOMISO]</w:t>
      </w:r>
      <w:r>
        <w:rPr>
          <w:rFonts w:ascii="Arial" w:hAnsi="Arial"/>
          <w:b w:val="0"/>
          <w:i w:val="0"/>
          <w:sz w:val="28"/>
        </w:rPr>
        <w:t xml:space="preserve"> pactado en el contrato de fideicomiso y, con ese solo cálculo, tuvo por acreditados ingresos presuntos a cargo de la parte actora por </w:t>
      </w:r>
      <w:r>
        <w:rPr>
          <w:rFonts w:ascii="Arial" w:hAnsi="Arial"/>
          <w:b/>
          <w:i w:val="0"/>
          <w:sz w:val="28"/>
        </w:rPr>
        <w:t>[MONTO DE LOS INGRESOS PRESUNTOS DETERMINADOS]</w:t>
      </w:r>
      <w:r>
        <w:rPr>
          <w:rFonts w:ascii="Arial" w:hAnsi="Arial"/>
          <w:b w:val="0"/>
          <w:i w:val="0"/>
          <w:sz w:val="28"/>
        </w:rPr>
        <w:t>, con apoyo en el artículo 59, primer párrafo, fracción I, del Código Fiscal de la Federación.</w:t>
      </w:r>
    </w:p>
    <w:p>
      <w:pPr>
        <w:spacing w:line="360" w:lineRule="auto"/>
        <w:jc w:val="both"/>
      </w:pPr>
      <w:r>
        <w:rPr>
          <w:rFonts w:ascii="Arial" w:hAnsi="Arial"/>
          <w:b w:val="0"/>
          <w:i w:val="0"/>
          <w:sz w:val="28"/>
        </w:rPr>
        <w:t>El primer defecto es que la documentación empleada no era de la parte actora. Se trataba de la contabilidad del fideicomiso, llevada por la institución fiduciaria en su carácter de tal, y la autoridad nunca demostró —ni intentó demostrar— que al menos una de las operaciones ahí contenidas hubiera sido realizada por la contribuyente. Al faltar el segundo supuesto del precepto, la presunción no llegó a nacer, y todo lo que se construyó sobre ella carece de base.</w:t>
      </w:r>
    </w:p>
    <w:p>
      <w:pPr>
        <w:spacing w:line="360" w:lineRule="auto"/>
        <w:jc w:val="both"/>
      </w:pPr>
      <w:r>
        <w:rPr>
          <w:rFonts w:ascii="Arial" w:hAnsi="Arial"/>
          <w:b w:val="0"/>
          <w:i w:val="0"/>
          <w:sz w:val="28"/>
        </w:rPr>
        <w:t xml:space="preserve">El propio expediente confirma el origen ajeno de las cifras. En la página </w:t>
      </w:r>
      <w:r>
        <w:rPr>
          <w:rFonts w:ascii="Arial" w:hAnsi="Arial"/>
          <w:b/>
          <w:i w:val="0"/>
          <w:sz w:val="28"/>
        </w:rPr>
        <w:t>[PÁGINA DE LA RESOLUCIÓN DONDE LA AUTORIDAD RECONOCE EL ORIGEN DE LAS CIFRAS]</w:t>
      </w:r>
      <w:r>
        <w:rPr>
          <w:rFonts w:ascii="Arial" w:hAnsi="Arial"/>
          <w:b w:val="0"/>
          <w:i w:val="0"/>
          <w:sz w:val="28"/>
        </w:rPr>
        <w:t xml:space="preserve"> de la resolución recurrida, la autoridad admitió que los datos provienen del informe del auditor independiente del fideicomiso y de las cuentas contables de la fiduciaria. Ese reconocimiento, hecho por la propia autoridad en el acto que se combate, constituye confesión expresa que opera en su contra en términos del artículo 46, fracción I, de la Ley Federal de Procedimiento Contencioso Administrativo, y releva a esta parte de mayor demostración sobre el punto.</w:t>
      </w:r>
    </w:p>
    <w:p>
      <w:pPr>
        <w:spacing w:line="360" w:lineRule="auto"/>
        <w:jc w:val="both"/>
      </w:pPr>
      <w:r>
        <w:rPr>
          <w:rFonts w:ascii="Arial" w:hAnsi="Arial"/>
          <w:b w:val="0"/>
          <w:i w:val="0"/>
          <w:sz w:val="28"/>
        </w:rPr>
        <w:t>El razonamiento incurre, además, en una falacia identificable con nombre propio. La falacia de la división consiste en suponer que las partes disfrutan las propiedades del todo.</w:t>
      </w:r>
      <w:r>
        <w:rPr>
          <w:rFonts w:ascii="Arial" w:hAnsi="Arial"/>
          <w:vertAlign w:val="superscript"/>
        </w:rPr>
        <w:t>4</w:t>
      </w:r>
      <w:r>
        <w:rPr>
          <w:rFonts w:ascii="Arial" w:hAnsi="Arial"/>
          <w:b w:val="0"/>
          <w:i w:val="0"/>
          <w:sz w:val="28"/>
        </w:rPr>
        <w:t xml:space="preserve"> Eso hizo la autoridad al asumir que, por ser fideicomisaria en cierta proporción, la parte actora obtuvo en esa misma proporción cada peso de ingreso bruto del fideicomiso; la participación contractual mide la parte del resultado fiscal que se acumula, no convierte al fideicomisario en titular directo de los ingresos brutos del patrimonio fideicomitido.</w:t>
      </w:r>
    </w:p>
    <w:p>
      <w:pPr>
        <w:spacing w:line="360" w:lineRule="auto"/>
        <w:jc w:val="both"/>
      </w:pPr>
      <w:r>
        <w:rPr>
          <w:rFonts w:ascii="Arial" w:hAnsi="Arial"/>
          <w:b w:val="0"/>
          <w:i w:val="0"/>
          <w:sz w:val="28"/>
        </w:rPr>
        <w:t>El segundo defecto está en el reproche que la autoridad dirigió a la parte actora por no exhibir pólizas, auxiliares, la balanza completa o las facturas del fideicomiso. Ese reproche invierte la carga probatoria: la falacia de eludir la carga de la prueba consiste en no aportar razones que fundamenten la conclusión o en pretender que las aporte el oponente.</w:t>
      </w:r>
      <w:r>
        <w:rPr>
          <w:rFonts w:ascii="Arial" w:hAnsi="Arial"/>
          <w:vertAlign w:val="superscript"/>
        </w:rPr>
        <w:t>5</w:t>
      </w:r>
      <w:r>
        <w:rPr>
          <w:rFonts w:ascii="Arial" w:hAnsi="Arial"/>
          <w:b w:val="0"/>
          <w:i w:val="0"/>
          <w:sz w:val="28"/>
        </w:rPr>
        <w:t xml:space="preserve"> Aquí es la autoridad quien invoca la presunción en su beneficio y, por tanto, quien debe acreditar sus supuestos, sin trasladar al particular la prueba de documentos que la ley pone en manos de la fiduciaria.</w:t>
      </w:r>
    </w:p>
    <w:p>
      <w:pPr>
        <w:spacing w:line="360" w:lineRule="auto"/>
        <w:jc w:val="both"/>
      </w:pPr>
      <w:r>
        <w:rPr>
          <w:rFonts w:ascii="Arial" w:hAnsi="Arial"/>
          <w:b w:val="0"/>
          <w:i w:val="0"/>
          <w:sz w:val="28"/>
        </w:rPr>
        <w:t>La motivación llega a incurrir en petición de principio, que se comete cuando se da por supuesto en las premisas aquello que precisamente había que demostrar.</w:t>
      </w:r>
      <w:r>
        <w:rPr>
          <w:rFonts w:ascii="Arial" w:hAnsi="Arial"/>
          <w:vertAlign w:val="superscript"/>
        </w:rPr>
        <w:t>6</w:t>
      </w:r>
      <w:r>
        <w:rPr>
          <w:rFonts w:ascii="Arial" w:hAnsi="Arial"/>
          <w:b w:val="0"/>
          <w:i w:val="0"/>
          <w:sz w:val="28"/>
        </w:rPr>
        <w:t xml:space="preserve"> La autoridad afirmó que la documentación de la fiduciaria corresponde a operaciones de la contribuyente porque así lo autoriza el artículo 59, fracción I, cuando la aplicabilidad de ese precepto dependía justamente de haber demostrado antes que alguna operación fue realizada por ella. La conclusión se usó como premisa de sí misma.</w:t>
      </w:r>
    </w:p>
    <w:p>
      <w:pPr>
        <w:spacing w:line="360" w:lineRule="auto"/>
        <w:jc w:val="both"/>
      </w:pPr>
      <w:r>
        <w:rPr>
          <w:rFonts w:ascii="Arial" w:hAnsi="Arial"/>
          <w:b w:val="0"/>
          <w:i w:val="0"/>
          <w:sz w:val="28"/>
        </w:rPr>
        <w:t xml:space="preserve">El tercer defecto es aritmético y subsiste con independencia de los anteriores. La autoridad tomó los ingresos brutos registrados en la balanza del fideicomiso sin disminuir los egresos contables por </w:t>
      </w:r>
      <w:r>
        <w:rPr>
          <w:rFonts w:ascii="Arial" w:hAnsi="Arial"/>
          <w:b/>
          <w:i w:val="0"/>
          <w:sz w:val="28"/>
        </w:rPr>
        <w:t>[MONTO DE LOS EGRESOS CONTABLES DEL FIDEICOMISO]</w:t>
      </w:r>
      <w:r>
        <w:rPr>
          <w:rFonts w:ascii="Arial" w:hAnsi="Arial"/>
          <w:b w:val="0"/>
          <w:i w:val="0"/>
          <w:sz w:val="28"/>
        </w:rPr>
        <w:t xml:space="preserve"> ni la pérdida fiscal del ejercicio, y sin acreditar a la parte actora la proporción que le correspondía de los pagos provisionales enterados por la fiduciaria por </w:t>
      </w:r>
      <w:r>
        <w:rPr>
          <w:rFonts w:ascii="Arial" w:hAnsi="Arial"/>
          <w:b/>
          <w:i w:val="0"/>
          <w:sz w:val="28"/>
        </w:rPr>
        <w:t>[MONTO DE LOS PAGOS PROVISIONALES EFECTUADOS POR LA FIDUCIARIA]</w:t>
      </w:r>
      <w:r>
        <w:rPr>
          <w:rFonts w:ascii="Arial" w:hAnsi="Arial"/>
          <w:b w:val="0"/>
          <w:i w:val="0"/>
          <w:sz w:val="28"/>
        </w:rPr>
        <w:t>. Determinó, en suma, sobre una magnitud que la ley no grava.</w:t>
      </w:r>
    </w:p>
    <w:p>
      <w:pPr>
        <w:spacing w:line="360" w:lineRule="auto"/>
        <w:jc w:val="both"/>
      </w:pPr>
      <w:r>
        <w:rPr>
          <w:rFonts w:ascii="Arial" w:hAnsi="Arial"/>
          <w:b w:val="0"/>
          <w:i w:val="0"/>
          <w:sz w:val="28"/>
        </w:rPr>
        <w:t>A ello se suma una duplicidad demostrable. Los ingresos nominales que la fiduciaria declaró en el pago provisional del último mes del ejercicio derivan de los saldos de las mismas cuentas de la balanza de comprobación de las que ya se había obtenido la primera cifra de ingresos presuntos; al sumar ambas partidas, la autoridad contó dos veces los mismos ingresos. No se trata de una discrepancia de criterio contable, sino de un error de cuenta que la pericial permite exhibir con papeles de trabajo.</w:t>
      </w:r>
    </w:p>
    <w:p>
      <w:pPr>
        <w:spacing w:line="360" w:lineRule="auto"/>
        <w:jc w:val="both"/>
      </w:pPr>
      <w:r>
        <w:rPr>
          <w:rFonts w:ascii="Arial" w:hAnsi="Arial"/>
          <w:b w:val="0"/>
          <w:i w:val="0"/>
          <w:sz w:val="28"/>
        </w:rPr>
        <w:t>Por eso conviene ofrecer desde la demanda la prueba pericial contable, con un cuestionario que pida al perito precisar el origen de cada cifra, la integración de las cuentas de la balanza, el importe de los egresos y de la pérdida fiscal, y si los ingresos nominales del pago provisional derivan de las mismas cuentas ya consideradas. Como se ha reconocido en asuntos análogos, un dictamen que sólo repite los razonamientos de la fiscalizadora, sin trabajo técnico propio, carece de fuerza frente al que sí reconstruye las cifras.</w:t>
      </w:r>
    </w:p>
    <w:p>
      <w:pPr>
        <w:spacing w:line="360" w:lineRule="auto"/>
        <w:jc w:val="both"/>
      </w:pPr>
      <w:r>
        <w:rPr>
          <w:rFonts w:ascii="Arial" w:hAnsi="Arial"/>
          <w:b w:val="0"/>
          <w:i w:val="0"/>
          <w:sz w:val="28"/>
        </w:rPr>
        <w:t>Conviene también anticipar la respuesta a un argumento previsible. Se dirá que la parte actora no acreditó el origen y la procedencia de los ingresos del fideicomiso; pero esa exigencia sólo tendría sentido si la ley le impusiera llevar esa contabilidad, y no se la impone. La obligación de determinar el resultado fiscal, de enterar los pagos provisionales y de expedir los comprobantes corresponde a la institución fiduciaria, de manera que el soporte contable y fiscal de ese cumplimiento recae en ella.</w:t>
      </w:r>
    </w:p>
    <w:p>
      <w:pPr>
        <w:spacing w:line="360" w:lineRule="auto"/>
        <w:jc w:val="both"/>
      </w:pPr>
      <w:r>
        <w:rPr>
          <w:rFonts w:ascii="Arial" w:hAnsi="Arial"/>
          <w:b w:val="0"/>
          <w:i w:val="0"/>
          <w:sz w:val="28"/>
        </w:rPr>
        <w:t>La consecuencia sistémica de convalidar la determinación revela su error con claridad. Si bastara con aplicar el porcentaje de participación a los ingresos brutos de un fideicomiso para tener por acreditados ingresos omitidos del fideicomisario, cualquier persona con una participación minoritaria quedaría expuesta a determinaciones de magnitud desproporcionada, calculadas sobre información que la ley no la obliga a poseer y que no puede controvertir. El artículo 13 de la Ley del Impuesto sobre la Renta quedaría sin contenido.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artículo 13 de la Ley del Impuesto sobre la Renta reserva a la institución fiduciaria la determinación del resultado fiscal y el cumplimiento de las obligaciones del fideicomiso empresarial, y limita el deber del fideicomisario a acumular la parte proporcional de ese resultado y a acreditar en esa proporción los pagos provisionales; el artículo 59, primer párrafo, fracción I, del Código Fiscal de la Federación exige demostrar que al menos una operación fue realizada por la contribuyente; la autoridad no lo demostró; y la cifra que determinó es, además, aritméticamente insostenible.</w:t>
      </w:r>
    </w:p>
    <w:p>
      <w:pPr>
        <w:spacing w:line="360" w:lineRule="auto"/>
        <w:jc w:val="both"/>
      </w:pPr>
      <w:r>
        <w:rPr>
          <w:rFonts w:ascii="Arial" w:hAnsi="Arial"/>
          <w:b w:val="0"/>
          <w:i w:val="0"/>
          <w:sz w:val="28"/>
        </w:rPr>
        <w:t xml:space="preserve">Por lo expuesto, procede declarar fundado el presente concepto de impugnación y la nulidad de la resolución impugnada y de la recurrida que confirma, por actualizarse el supuesto de los artículos 58-27, fracción II, y 58-28 de la Ley Federal de Procedimiento Contencioso Administrativo, en la vía de resolución exclusiva de fondo, o la causal de ilegalidad que esa ley prevé para la vía ordinaria. Como pretensión principal se solicita que esta H. Sala, previa la constatación que ordena el artículo 50, penúltimo párrafo, de esa ley, reconozca el derecho subjetivo de </w:t>
      </w:r>
      <w:r>
        <w:rPr>
          <w:rFonts w:ascii="Arial" w:hAnsi="Arial"/>
          <w:b/>
          <w:i w:val="0"/>
          <w:sz w:val="28"/>
        </w:rPr>
        <w:t>[NOMBRE DE LA PARTE ACTORA]</w:t>
      </w:r>
      <w:r>
        <w:rPr>
          <w:rFonts w:ascii="Arial" w:hAnsi="Arial"/>
          <w:b w:val="0"/>
          <w:i w:val="0"/>
          <w:sz w:val="28"/>
        </w:rPr>
        <w:t xml:space="preserve"> a la devolución solicitada.</w:t>
      </w:r>
    </w:p>
    <w:p>
      <w:pPr>
        <w:spacing w:line="360" w:lineRule="auto"/>
        <w:jc w:val="both"/>
      </w:pPr>
      <w:r>
        <w:rPr>
          <w:rFonts w:ascii="Arial" w:hAnsi="Arial"/>
          <w:b w:val="0"/>
          <w:i w:val="0"/>
          <w:sz w:val="28"/>
        </w:rPr>
        <w:t>De manera subsidiaria, y sólo para el caso de que esta H. Sala estimara carecer de elementos para pronunciarse sobre el derecho subjetivo, se solicita la nulidad para el efecto de que la autoridad emita una nueva resolución debidamente fundada y motivada en la que deje de considerar como ingresos acumulables de la parte actora la totalidad de los obtenidos por el fideicomiso, tome únicamente sus ingresos propios más la parte del resultado fiscal que le corresponda, acredite la proporción de los pagos provisionales efectuados por la fiduciaria y resuelva lo relativo a la devolución solicitada.</w:t>
      </w:r>
    </w:p>
    <w:p>
      <w:pPr>
        <w:spacing w:line="360" w:lineRule="auto"/>
        <w:jc w:val="both"/>
      </w:pPr>
      <w:r>
        <w:rPr>
          <w:rFonts w:ascii="Arial" w:hAnsi="Arial"/>
          <w:b w:val="0"/>
          <w:i w:val="0"/>
          <w:sz w:val="28"/>
        </w:rPr>
        <w:t>Se solicita el estudio preferente de este concepto por otorgar el mayor beneficio, ya que la presuntiva combatida es el sustento principal de la negativa de devolución, y se pide que su análisis se realice en el terreno del fondo, esto es, sobre el hecho que motivó la resolución y sobre la norma que le fue aplicada, sin reconducirlo a cuestiones de forma o de procedimiento ajenas al planteamiento.</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BARRANCO DE BUSANICHE, Graciela; SUÁREZ, Eloy Emiliano (comp.), </w:t>
      </w:r>
      <w:r>
        <w:rPr>
          <w:rFonts w:ascii="Arial" w:hAnsi="Arial"/>
          <w:i/>
          <w:sz w:val="20"/>
        </w:rPr>
        <w:t>Argumentación jurídica y constitucionalismo</w:t>
      </w:r>
      <w:r>
        <w:rPr>
          <w:rFonts w:ascii="Arial" w:hAnsi="Arial"/>
          <w:i w:val="0"/>
          <w:sz w:val="20"/>
        </w:rPr>
        <w:t>, UNL, Santa Fe, 2020, p. 34.</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179.</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1139.</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22.</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73.</w:t>
      </w:r>
    </w:p>
    <w:p/>
    <w:p>
      <w:r>
        <w:rPr>
          <w:rFonts w:ascii="Arial" w:hAnsi="Arial"/>
          <w:b/>
          <w:sz w:val="22"/>
        </w:rPr>
        <w:t>BIBLIOGRAFÍA</w:t>
      </w:r>
    </w:p>
    <w:p>
      <w:pPr>
        <w:spacing w:after="60"/>
        <w:ind w:left="360" w:hanging="360"/>
        <w:jc w:val="both"/>
      </w:pPr>
      <w:r>
        <w:rPr>
          <w:rFonts w:ascii="Arial" w:hAnsi="Arial"/>
          <w:i w:val="0"/>
          <w:sz w:val="20"/>
        </w:rPr>
        <w:t xml:space="preserve">BARRANCO DE BUSANICHE, Graciela; SUÁREZ, Eloy Emiliano (comp.), </w:t>
      </w:r>
      <w:r>
        <w:rPr>
          <w:rFonts w:ascii="Arial" w:hAnsi="Arial"/>
          <w:i/>
          <w:sz w:val="20"/>
        </w:rPr>
        <w:t>Argumentación jurídica y constitucionalismo</w:t>
      </w:r>
      <w:r>
        <w:rPr>
          <w:rFonts w:ascii="Arial" w:hAnsi="Arial"/>
          <w:i w:val="0"/>
          <w:sz w:val="20"/>
        </w:rPr>
        <w:t>, UNL, Santa Fe, 2020.</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