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AMPLIACIÓN DE DEMANDA DE NULIDAD. ILEGALIDAD DE LA NOTIFICACIÓN POR BUZÓN TRIBUTARIO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Inserta el machote como concepto de impugnación en tu escrito de ampliación de demanda, dentro del plazo que la Sala te conceda al correrte traslado con la contestación. Después sustituye cada campo entre corchetes con los datos de tu expediente y verifica que cada afirmación coincida con tus constancias antes de firmar.</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determinante que exhibió la autoridad.</w:t>
      </w:r>
    </w:p>
    <w:p>
      <w:pPr>
        <w:spacing w:line="360" w:lineRule="auto"/>
        <w:jc w:val="both"/>
      </w:pPr>
      <w:r>
        <w:rPr>
          <w:rFonts w:ascii="Arial" w:hAnsi="Arial"/>
          <w:b/>
          <w:i w:val="0"/>
          <w:sz w:val="24"/>
        </w:rPr>
        <w:t>[FECHA DE LA RESOLUCIÓN IMPUGNADA]</w:t>
      </w:r>
      <w:r>
        <w:rPr>
          <w:rFonts w:ascii="Arial" w:hAnsi="Arial"/>
          <w:b w:val="0"/>
          <w:i w:val="0"/>
          <w:sz w:val="24"/>
        </w:rPr>
        <w:t>: la fecha de emisión que aparece en ese oficio.</w:t>
      </w:r>
    </w:p>
    <w:p>
      <w:pPr>
        <w:spacing w:line="360" w:lineRule="auto"/>
        <w:jc w:val="both"/>
      </w:pPr>
      <w:r>
        <w:rPr>
          <w:rFonts w:ascii="Arial" w:hAnsi="Arial"/>
          <w:b/>
          <w:i w:val="0"/>
          <w:sz w:val="24"/>
        </w:rPr>
        <w:t>[AUTORIDAD DEMANDADA]</w:t>
      </w:r>
      <w:r>
        <w:rPr>
          <w:rFonts w:ascii="Arial" w:hAnsi="Arial"/>
          <w:b w:val="0"/>
          <w:i w:val="0"/>
          <w:sz w:val="24"/>
        </w:rPr>
        <w:t>: la denominación completa de la autoridad emisora.</w:t>
      </w:r>
    </w:p>
    <w:p>
      <w:pPr>
        <w:spacing w:line="360" w:lineRule="auto"/>
        <w:jc w:val="both"/>
      </w:pPr>
      <w:r>
        <w:rPr>
          <w:rFonts w:ascii="Arial" w:hAnsi="Arial"/>
          <w:b/>
          <w:i w:val="0"/>
          <w:sz w:val="24"/>
        </w:rPr>
        <w:t>[SALA REGIONAL]</w:t>
      </w:r>
      <w:r>
        <w:rPr>
          <w:rFonts w:ascii="Arial" w:hAnsi="Arial"/>
          <w:b w:val="0"/>
          <w:i w:val="0"/>
          <w:sz w:val="24"/>
        </w:rPr>
        <w:t>: la Sala del Tribunal Federal de Justicia Administrativa que instruye tu juicio.</w:t>
      </w:r>
    </w:p>
    <w:p>
      <w:pPr>
        <w:spacing w:line="360" w:lineRule="auto"/>
        <w:jc w:val="both"/>
      </w:pPr>
      <w:r>
        <w:rPr>
          <w:rFonts w:ascii="Arial" w:hAnsi="Arial"/>
          <w:b/>
          <w:i w:val="0"/>
          <w:sz w:val="24"/>
        </w:rPr>
        <w:t>[NOMBRE DE LA PARTE ACTORA]</w:t>
      </w:r>
      <w:r>
        <w:rPr>
          <w:rFonts w:ascii="Arial" w:hAnsi="Arial"/>
          <w:b w:val="0"/>
          <w:i w:val="0"/>
          <w:sz w:val="24"/>
        </w:rPr>
        <w:t>: nombre o razón social de quien demanda; si actúas como albacea, precisa ese carácter.</w:t>
      </w:r>
    </w:p>
    <w:p>
      <w:pPr>
        <w:spacing w:line="360" w:lineRule="auto"/>
        <w:jc w:val="both"/>
      </w:pPr>
      <w:r>
        <w:rPr>
          <w:rFonts w:ascii="Arial" w:hAnsi="Arial"/>
          <w:b/>
          <w:i w:val="0"/>
          <w:sz w:val="24"/>
        </w:rPr>
        <w:t>[FECHA EN QUE LA PARTE ACTORA MANIFESTÓ CONOCER LA RESOLUCIÓN]</w:t>
      </w:r>
      <w:r>
        <w:rPr>
          <w:rFonts w:ascii="Arial" w:hAnsi="Arial"/>
          <w:b w:val="0"/>
          <w:i w:val="0"/>
          <w:sz w:val="24"/>
        </w:rPr>
        <w:t>: la fecha de conocimiento asentada en tu demanda inicial.</w:t>
      </w:r>
    </w:p>
    <w:p>
      <w:pPr>
        <w:spacing w:line="360" w:lineRule="auto"/>
        <w:jc w:val="both"/>
      </w:pPr>
      <w:r>
        <w:rPr>
          <w:rFonts w:ascii="Arial" w:hAnsi="Arial"/>
          <w:b/>
          <w:i w:val="0"/>
          <w:sz w:val="24"/>
        </w:rPr>
        <w:t>[FECHA DE PRESENTACIÓN DE LA DEMANDA]</w:t>
      </w:r>
      <w:r>
        <w:rPr>
          <w:rFonts w:ascii="Arial" w:hAnsi="Arial"/>
          <w:b w:val="0"/>
          <w:i w:val="0"/>
          <w:sz w:val="24"/>
        </w:rPr>
        <w:t>: el día en que se presentó la demanda de nulidad.</w:t>
      </w:r>
    </w:p>
    <w:p>
      <w:pPr>
        <w:spacing w:line="360" w:lineRule="auto"/>
        <w:jc w:val="both"/>
      </w:pPr>
      <w:r>
        <w:rPr>
          <w:rFonts w:ascii="Arial" w:hAnsi="Arial"/>
          <w:b/>
          <w:i w:val="0"/>
          <w:sz w:val="24"/>
        </w:rPr>
        <w:t>[NÚMERO DE EXPEDIENTE]</w:t>
      </w:r>
      <w:r>
        <w:rPr>
          <w:rFonts w:ascii="Arial" w:hAnsi="Arial"/>
          <w:b w:val="0"/>
          <w:i w:val="0"/>
          <w:sz w:val="24"/>
        </w:rPr>
        <w:t>: el número asignado a tu juicio por la Sala.</w:t>
      </w:r>
    </w:p>
    <w:p>
      <w:pPr>
        <w:spacing w:line="360" w:lineRule="auto"/>
        <w:jc w:val="both"/>
      </w:pPr>
      <w:r>
        <w:rPr>
          <w:rFonts w:ascii="Arial" w:hAnsi="Arial"/>
          <w:b/>
          <w:i w:val="0"/>
          <w:sz w:val="24"/>
        </w:rPr>
        <w:t>[FECHA DE LA SUPUESTA NOTIFICACIÓN POR BUZÓN TRIBUTARIO]</w:t>
      </w:r>
      <w:r>
        <w:rPr>
          <w:rFonts w:ascii="Arial" w:hAnsi="Arial"/>
          <w:b w:val="0"/>
          <w:i w:val="0"/>
          <w:sz w:val="24"/>
        </w:rPr>
        <w:t>: la fecha en que la constancia dice tener por realizada la notificación.</w:t>
      </w:r>
    </w:p>
    <w:p>
      <w:pPr>
        <w:spacing w:line="360" w:lineRule="auto"/>
        <w:jc w:val="both"/>
      </w:pPr>
      <w:r>
        <w:rPr>
          <w:rFonts w:ascii="Arial" w:hAnsi="Arial"/>
          <w:b/>
          <w:i w:val="0"/>
          <w:sz w:val="24"/>
        </w:rPr>
        <w:t>[CORREO ELECTRÓNICO REGISTRADO COMO MEDIO DE CONTACTO]</w:t>
      </w:r>
      <w:r>
        <w:rPr>
          <w:rFonts w:ascii="Arial" w:hAnsi="Arial"/>
          <w:b w:val="0"/>
          <w:i w:val="0"/>
          <w:sz w:val="24"/>
        </w:rPr>
        <w:t>: el correo que aparece en el acuse de registro de medios de contacto.</w:t>
      </w:r>
    </w:p>
    <w:p>
      <w:pPr>
        <w:spacing w:line="360" w:lineRule="auto"/>
        <w:jc w:val="both"/>
      </w:pPr>
      <w:r>
        <w:rPr>
          <w:rFonts w:ascii="Arial" w:hAnsi="Arial"/>
          <w:b/>
          <w:i w:val="0"/>
          <w:sz w:val="24"/>
        </w:rPr>
        <w:t>[NÚMERO DE TELÉFONO MÓVIL REGISTRADO]</w:t>
      </w:r>
      <w:r>
        <w:rPr>
          <w:rFonts w:ascii="Arial" w:hAnsi="Arial"/>
          <w:b w:val="0"/>
          <w:i w:val="0"/>
          <w:sz w:val="24"/>
        </w:rPr>
        <w:t>: el teléfono celular asentado en ese acuse.</w:t>
      </w:r>
    </w:p>
    <w:p>
      <w:pPr>
        <w:spacing w:line="360" w:lineRule="auto"/>
        <w:jc w:val="both"/>
      </w:pPr>
      <w:r>
        <w:rPr>
          <w:rFonts w:ascii="Arial" w:hAnsi="Arial"/>
          <w:b/>
          <w:i w:val="0"/>
          <w:sz w:val="24"/>
        </w:rPr>
        <w:t>[DEFECTO CONCRETO DE LA CONSTANCIA DE NOTIFICACIÓN]</w:t>
      </w:r>
      <w:r>
        <w:rPr>
          <w:rFonts w:ascii="Arial" w:hAnsi="Arial"/>
          <w:b w:val="0"/>
          <w:i w:val="0"/>
          <w:sz w:val="24"/>
        </w:rPr>
        <w:t>: la inconsistencia específica que detectes, por ejemplo folios o fechas que no coinciden con la resolución.</w:t>
      </w:r>
    </w:p>
    <w:p>
      <w:pPr>
        <w:spacing w:line="360" w:lineRule="auto"/>
        <w:jc w:val="both"/>
      </w:pPr>
      <w:r>
        <w:rPr>
          <w:rFonts w:ascii="Arial" w:hAnsi="Arial"/>
          <w:b/>
          <w:i w:val="0"/>
          <w:sz w:val="24"/>
        </w:rPr>
        <w:t>[FECHA DEL ACUSE DE REGISTRO DE MEDIOS DE CONTACTO]</w:t>
      </w:r>
      <w:r>
        <w:rPr>
          <w:rFonts w:ascii="Arial" w:hAnsi="Arial"/>
          <w:b w:val="0"/>
          <w:i w:val="0"/>
          <w:sz w:val="24"/>
        </w:rPr>
        <w:t>: la fecha del acuse de registro o actualización que exhibió la autoridad.</w:t>
      </w:r>
    </w:p>
    <w:p>
      <w:pPr>
        <w:spacing w:line="360" w:lineRule="auto"/>
        <w:jc w:val="both"/>
      </w:pPr>
      <w:r>
        <w:rPr>
          <w:rFonts w:ascii="Arial" w:hAnsi="Arial"/>
          <w:b w:val="0"/>
          <w:i w:val="0"/>
          <w:sz w:val="24"/>
        </w:rPr>
        <w:t>Si algún campo no aplica a tu caso, ajusta la redacción del párrafo completo en lugar de dejar el corchete vacío.</w:t>
      </w:r>
    </w:p>
    <w:p/>
    <w:p>
      <w:pPr>
        <w:spacing w:line="360" w:lineRule="auto"/>
        <w:jc w:val="both"/>
      </w:pPr>
      <w:r>
        <w:rPr>
          <w:rFonts w:ascii="Arial" w:hAnsi="Arial"/>
          <w:b/>
          <w:sz w:val="28"/>
        </w:rPr>
        <w:t>CONCEPTO DE IMPUGNACIÓN ÚNICO (AMPLIACIÓN DE DEMANDA). ILEGALIDAD DE LA NOTIFICACIÓN POR BUZÓN TRIBUTARIO DE LA RESOLUCIÓN IMPUGNADA, PORQUE LA AUTORIDAD DEMANDADA NO ACREDITA EL ENVÍO PREVIO DEL AVISO ELECTRÓNICO A LOS MEDIOS DE CONTACTO REGISTRADOS, EN CONTRAVENCIÓN DE LOS ARTÍCULOS 17-K Y 134, FRACCIÓN I, DEL CÓDIGO FISCAL DE LA FEDERACIÓN, EN RELACIÓN CON EL ARTÍCULO 16, FRACCIONES II Y III, DE LA LEY FEDERAL DE PROCEDIMIENTO CONTENCIOSO ADMINISTRATIVO Y CON EL ARTÍCULO 16 DE LA CONSTITUCIÓN POLÍTICA DE LOS ESTADOS UNIDOS MEXICANOS.</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Este concepto de impugnación demostrará que la notificación por buzón tributario de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LA RESOLUCIÓN IMPUGNADA]</w:t>
      </w:r>
      <w:r>
        <w:rPr>
          <w:rFonts w:ascii="Arial" w:hAnsi="Arial"/>
          <w:b w:val="0"/>
          <w:i w:val="0"/>
          <w:sz w:val="28"/>
        </w:rPr>
        <w:t xml:space="preserve">, atribuida a </w:t>
      </w:r>
      <w:r>
        <w:rPr>
          <w:rFonts w:ascii="Arial" w:hAnsi="Arial"/>
          <w:b/>
          <w:i w:val="0"/>
          <w:sz w:val="28"/>
        </w:rPr>
        <w:t>[AUTORIDAD DEMANDADA]</w:t>
      </w:r>
      <w:r>
        <w:rPr>
          <w:rFonts w:ascii="Arial" w:hAnsi="Arial"/>
          <w:b w:val="0"/>
          <w:i w:val="0"/>
          <w:sz w:val="28"/>
        </w:rPr>
        <w:t>, es ilegal, porque las constancias que dicha autoridad exhibió al contestar la demanda no acreditan el envío previo del aviso electrónico a los medios de contacto registrados, requisito que condiciona la validez de toda notificación electrónica conforme a los artículos 17-K y 134, fracción I, del Código Fiscal de la Federación.</w:t>
      </w:r>
    </w:p>
    <w:p>
      <w:pPr>
        <w:spacing w:line="360" w:lineRule="auto"/>
        <w:jc w:val="both"/>
      </w:pPr>
      <w:r>
        <w:rPr>
          <w:rFonts w:ascii="Arial" w:hAnsi="Arial"/>
          <w:b w:val="0"/>
          <w:i w:val="0"/>
          <w:sz w:val="28"/>
        </w:rPr>
        <w:t xml:space="preserve">La consecuencia de esa ilegalidad es la que fija el artículo 16, fracción III, de la Ley Federal de Procedimiento Contencioso Administrativo: esta </w:t>
      </w:r>
      <w:r>
        <w:rPr>
          <w:rFonts w:ascii="Arial" w:hAnsi="Arial"/>
          <w:b/>
          <w:i w:val="0"/>
          <w:sz w:val="28"/>
        </w:rPr>
        <w:t>[SALA REGIONAL]</w:t>
      </w:r>
      <w:r>
        <w:rPr>
          <w:rFonts w:ascii="Arial" w:hAnsi="Arial"/>
          <w:b w:val="0"/>
          <w:i w:val="0"/>
          <w:sz w:val="28"/>
        </w:rPr>
        <w:t xml:space="preserve"> deberá considerar que </w:t>
      </w:r>
      <w:r>
        <w:rPr>
          <w:rFonts w:ascii="Arial" w:hAnsi="Arial"/>
          <w:b/>
          <w:i w:val="0"/>
          <w:sz w:val="28"/>
        </w:rPr>
        <w:t>[NOMBRE DE LA PARTE ACTORA]</w:t>
      </w:r>
      <w:r>
        <w:rPr>
          <w:rFonts w:ascii="Arial" w:hAnsi="Arial"/>
          <w:b w:val="0"/>
          <w:i w:val="0"/>
          <w:sz w:val="28"/>
        </w:rPr>
        <w:t xml:space="preserve"> fue sabedora de la resolución impugnada hasta el </w:t>
      </w:r>
      <w:r>
        <w:rPr>
          <w:rFonts w:ascii="Arial" w:hAnsi="Arial"/>
          <w:b/>
          <w:i w:val="0"/>
          <w:sz w:val="28"/>
        </w:rPr>
        <w:t>[FECHA EN QUE LA PARTE ACTORA MANIFESTÓ CONOCER LA RESOLUCIÓN]</w:t>
      </w:r>
      <w:r>
        <w:rPr>
          <w:rFonts w:ascii="Arial" w:hAnsi="Arial"/>
          <w:b w:val="0"/>
          <w:i w:val="0"/>
          <w:sz w:val="28"/>
        </w:rPr>
        <w:t xml:space="preserve">, </w:t>
      </w:r>
      <w:r>
        <w:rPr>
          <w:rFonts w:ascii="Arial" w:hAnsi="Arial"/>
          <w:b w:val="0"/>
          <w:i/>
          <w:sz w:val="28"/>
        </w:rPr>
        <w:t>«quedando sin efectos todo lo actuado en base a dicha notificación»</w:t>
      </w:r>
      <w:r>
        <w:rPr>
          <w:rFonts w:ascii="Arial" w:hAnsi="Arial"/>
          <w:b w:val="0"/>
          <w:i w:val="0"/>
          <w:sz w:val="28"/>
        </w:rPr>
        <w:t xml:space="preserve">; por lo tanto, la demanda presentada el </w:t>
      </w:r>
      <w:r>
        <w:rPr>
          <w:rFonts w:ascii="Arial" w:hAnsi="Arial"/>
          <w:b/>
          <w:i w:val="0"/>
          <w:sz w:val="28"/>
        </w:rPr>
        <w:t>[FECHA DE PRESENTACIÓN DE LA DEMANDA]</w:t>
      </w:r>
      <w:r>
        <w:rPr>
          <w:rFonts w:ascii="Arial" w:hAnsi="Arial"/>
          <w:b w:val="0"/>
          <w:i w:val="0"/>
          <w:sz w:val="28"/>
        </w:rPr>
        <w:t xml:space="preserve"> resulta oportuna y procede el estudio de los conceptos dirigidos contra la resolución misma.</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En la demanda que dio origen al juicio </w:t>
      </w:r>
      <w:r>
        <w:rPr>
          <w:rFonts w:ascii="Arial" w:hAnsi="Arial"/>
          <w:b/>
          <w:i w:val="0"/>
          <w:sz w:val="28"/>
        </w:rPr>
        <w:t>[NÚMERO DE EXPEDIENTE]</w:t>
      </w:r>
      <w:r>
        <w:rPr>
          <w:rFonts w:ascii="Arial" w:hAnsi="Arial"/>
          <w:b w:val="0"/>
          <w:i w:val="0"/>
          <w:sz w:val="28"/>
        </w:rPr>
        <w:t xml:space="preserve">, la parte actora manifestó desconocer la resolución que ahora se combate, en términos del artículo 16, fracción II, de la Ley Federal de Procedimiento Contencioso Administrativo, y señaló a </w:t>
      </w:r>
      <w:r>
        <w:rPr>
          <w:rFonts w:ascii="Arial" w:hAnsi="Arial"/>
          <w:b/>
          <w:i w:val="0"/>
          <w:sz w:val="28"/>
        </w:rPr>
        <w:t>[AUTORIDAD DEMANDADA]</w:t>
      </w:r>
      <w:r>
        <w:rPr>
          <w:rFonts w:ascii="Arial" w:hAnsi="Arial"/>
          <w:b w:val="0"/>
          <w:i w:val="0"/>
          <w:sz w:val="28"/>
        </w:rPr>
        <w:t xml:space="preserve"> como la autoridad a la que atribuye su emisión. Con esa manifestación se activó el procedimiento que la propia ley disciplina: la autoridad debía exhibir, al contestar, la resolución y las constancias de su notificación, y la parte actora queda constreñida a combatirlas mediante esta ampliación, como lo ha reconocido la Sala en casos análogos.</w:t>
      </w:r>
    </w:p>
    <w:p>
      <w:pPr>
        <w:spacing w:line="360" w:lineRule="auto"/>
        <w:jc w:val="both"/>
      </w:pPr>
      <w:r>
        <w:rPr>
          <w:rFonts w:ascii="Arial" w:hAnsi="Arial"/>
          <w:b w:val="0"/>
          <w:i w:val="0"/>
          <w:sz w:val="28"/>
        </w:rPr>
        <w:t xml:space="preserve">La autoridad exhibió la resolución determinante y una constancia conforme a la cual el documento digital fue depositado en el buzón tributario y, al no abrirse dentro del plazo que prevé el artículo 134, fracción I, del Código Fiscal de la Federación, la notificación se tuvo por realizada el </w:t>
      </w:r>
      <w:r>
        <w:rPr>
          <w:rFonts w:ascii="Arial" w:hAnsi="Arial"/>
          <w:b/>
          <w:i w:val="0"/>
          <w:sz w:val="28"/>
        </w:rPr>
        <w:t>[FECHA DE LA SUPUESTA NOTIFICACIÓN POR BUZÓN TRIBUTARIO]</w:t>
      </w:r>
      <w:r>
        <w:rPr>
          <w:rFonts w:ascii="Arial" w:hAnsi="Arial"/>
          <w:b w:val="0"/>
          <w:i w:val="0"/>
          <w:sz w:val="28"/>
        </w:rPr>
        <w:t>. El vicio que aquí se denuncia es preciso: ninguna de esas documentales demuestra el hecho que condiciona la validez de la diligencia entera: el envío efectivo y previo del aviso electrónico a los mecanismos de comunicación registrados.</w:t>
      </w:r>
    </w:p>
    <w:p>
      <w:pPr>
        <w:spacing w:line="360" w:lineRule="auto"/>
        <w:jc w:val="both"/>
      </w:pPr>
      <w:r>
        <w:rPr>
          <w:rFonts w:ascii="Arial" w:hAnsi="Arial"/>
          <w:b w:val="0"/>
          <w:i w:val="0"/>
          <w:sz w:val="28"/>
        </w:rPr>
        <w:t xml:space="preserve">En efecto, la constancia se limita a aseverar que el aviso </w:t>
      </w:r>
      <w:r>
        <w:rPr>
          <w:rFonts w:ascii="Arial" w:hAnsi="Arial"/>
          <w:b w:val="0"/>
          <w:i/>
          <w:sz w:val="28"/>
        </w:rPr>
        <w:t>«fue enviado»</w:t>
      </w:r>
      <w:r>
        <w:rPr>
          <w:rFonts w:ascii="Arial" w:hAnsi="Arial"/>
          <w:b w:val="0"/>
          <w:i w:val="0"/>
          <w:sz w:val="28"/>
        </w:rPr>
        <w:t xml:space="preserve"> al correo </w:t>
      </w:r>
      <w:r>
        <w:rPr>
          <w:rFonts w:ascii="Arial" w:hAnsi="Arial"/>
          <w:b/>
          <w:i w:val="0"/>
          <w:sz w:val="28"/>
        </w:rPr>
        <w:t>[CORREO ELECTRÓNICO REGISTRADO COMO MEDIO DE CONTACTO]</w:t>
      </w:r>
      <w:r>
        <w:rPr>
          <w:rFonts w:ascii="Arial" w:hAnsi="Arial"/>
          <w:b w:val="0"/>
          <w:i w:val="0"/>
          <w:sz w:val="28"/>
        </w:rPr>
        <w:t xml:space="preserve"> y al teléfono </w:t>
      </w:r>
      <w:r>
        <w:rPr>
          <w:rFonts w:ascii="Arial" w:hAnsi="Arial"/>
          <w:b/>
          <w:i w:val="0"/>
          <w:sz w:val="28"/>
        </w:rPr>
        <w:t>[NÚMERO DE TELÉFONO MÓVIL REGISTRADO]</w:t>
      </w:r>
      <w:r>
        <w:rPr>
          <w:rFonts w:ascii="Arial" w:hAnsi="Arial"/>
          <w:b w:val="0"/>
          <w:i w:val="0"/>
          <w:sz w:val="28"/>
        </w:rPr>
        <w:t xml:space="preserve">; empero, no se acompaña el acuse o registro informático de envío generado por el sistema, ni elemento alguno distinto del dicho de la propia emisora. A ello se suma que </w:t>
      </w:r>
      <w:r>
        <w:rPr>
          <w:rFonts w:ascii="Arial" w:hAnsi="Arial"/>
          <w:b/>
          <w:i w:val="0"/>
          <w:sz w:val="28"/>
        </w:rPr>
        <w:t>[DEFECTO CONCRETO DE LA CONSTANCIA DE NOTIFICACIÓN]</w:t>
      </w:r>
      <w:r>
        <w:rPr>
          <w:rFonts w:ascii="Arial" w:hAnsi="Arial"/>
          <w:b w:val="0"/>
          <w:i w:val="0"/>
          <w:sz w:val="28"/>
        </w:rPr>
        <w:t>, irregularidad que impide vincular indudablemente la diligencia con la resolución impugnada. La parte actora niega lisa y llanamente haber recibido el aviso, negativa que no implica la afirmación de otro hecho.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 xml:space="preserve">El artículo 16 de la Constitución Política de los Estados Unidos Mexicanos dispone que </w:t>
      </w:r>
      <w:r>
        <w:rPr>
          <w:rFonts w:ascii="Arial" w:hAnsi="Arial"/>
          <w:b w:val="0"/>
          <w:i/>
          <w:sz w:val="28"/>
        </w:rPr>
        <w:t>«nadie puede ser molestado en su persona, familia, domicilio, papeles o posesiones»</w:t>
      </w:r>
      <w:r>
        <w:rPr>
          <w:rFonts w:ascii="Arial" w:hAnsi="Arial"/>
          <w:b w:val="0"/>
          <w:i w:val="0"/>
          <w:sz w:val="28"/>
        </w:rPr>
        <w:t xml:space="preserve"> sino en virtud de mandamiento escrito de autoridad competente que funde y motive la causa legal del procedimiento. La notificación de una resolución determinante de crédito fiscal es un acto de molestia típico: constituye el puente entre la determinación de la autoridad y la esfera jurídica de la persona contribuyente, y de su regularidad depende el cómputo de los plazos de defensa.</w:t>
      </w:r>
    </w:p>
    <w:p>
      <w:pPr>
        <w:spacing w:line="360" w:lineRule="auto"/>
        <w:jc w:val="both"/>
      </w:pPr>
      <w:r>
        <w:rPr>
          <w:rFonts w:ascii="Arial" w:hAnsi="Arial"/>
          <w:b w:val="0"/>
          <w:i w:val="0"/>
          <w:sz w:val="28"/>
        </w:rPr>
        <w:t>La doctrina procesal enseña que la notificación tiene como objetivo primordial que los hechos o actos acontecidos sin la presencia de la persona interesada sean conocidos por ella, lo que a su vez posibilita la oportunidad de la defensa.</w:t>
      </w:r>
      <w:r>
        <w:rPr>
          <w:rFonts w:ascii="Arial" w:hAnsi="Arial"/>
          <w:vertAlign w:val="superscript"/>
        </w:rPr>
        <w:t>1</w:t>
      </w:r>
      <w:r>
        <w:rPr>
          <w:rFonts w:ascii="Arial" w:hAnsi="Arial"/>
          <w:b w:val="0"/>
          <w:i w:val="0"/>
          <w:sz w:val="28"/>
        </w:rPr>
        <w:t xml:space="preserve"> Las formalidades de las notificaciones no son, pues, ritualismos vacíos: son la garantía instrumental del derecho de audiencia, y su inobservancia deja a la parte en un verdadero estado de indefensión, pues corre plazos fatales a sus espaldas.</w:t>
      </w:r>
    </w:p>
    <w:p>
      <w:pPr>
        <w:spacing w:line="360" w:lineRule="auto"/>
        <w:jc w:val="both"/>
      </w:pPr>
      <w:r>
        <w:rPr>
          <w:rFonts w:ascii="Arial" w:hAnsi="Arial"/>
          <w:b w:val="0"/>
          <w:i w:val="0"/>
          <w:sz w:val="28"/>
        </w:rPr>
        <w:t xml:space="preserve">Tratándose del buzón tributario, el artículo 17-K del Código Fiscal de la Federación condiciona el funcionamiento del sistema a tres pasos sucesivos: que la persona contribuyente habilite el buzón y registre mecanismos de comunicación; que la autoridad envíe </w:t>
      </w:r>
      <w:r>
        <w:rPr>
          <w:rFonts w:ascii="Arial" w:hAnsi="Arial"/>
          <w:b w:val="0"/>
          <w:i/>
          <w:sz w:val="28"/>
        </w:rPr>
        <w:t>«por única ocasión, mediante los mecanismos elegidos, un aviso de confirmación que servirá para corroborar la autenticidad y correcto funcionamiento de éste»</w:t>
      </w:r>
      <w:r>
        <w:rPr>
          <w:rFonts w:ascii="Arial" w:hAnsi="Arial"/>
          <w:b w:val="0"/>
          <w:i w:val="0"/>
          <w:sz w:val="28"/>
        </w:rPr>
        <w:t>; y que cada depósito de un documento digital vaya precedido de un aviso electrónico dirigido a esos mecanismos, pues sólo así el sistema garantiza un conocimiento real y no meramente ficto.</w:t>
      </w:r>
    </w:p>
    <w:p>
      <w:pPr>
        <w:spacing w:line="360" w:lineRule="auto"/>
        <w:jc w:val="both"/>
      </w:pPr>
      <w:r>
        <w:rPr>
          <w:rFonts w:ascii="Arial" w:hAnsi="Arial"/>
          <w:b w:val="0"/>
          <w:i w:val="0"/>
          <w:sz w:val="28"/>
        </w:rPr>
        <w:t xml:space="preserve">En congruencia con lo anterior, el artículo 134, fracción I, del propio código establece que </w:t>
      </w:r>
      <w:r>
        <w:rPr>
          <w:rFonts w:ascii="Arial" w:hAnsi="Arial"/>
          <w:b w:val="0"/>
          <w:i/>
          <w:sz w:val="28"/>
        </w:rPr>
        <w:t>«previo a la realización de la notificación electrónica, al contribuyente le será enviado un aviso mediante el mecanismo designado por éste»</w:t>
      </w:r>
      <w:r>
        <w:rPr>
          <w:rFonts w:ascii="Arial" w:hAnsi="Arial"/>
          <w:b w:val="0"/>
          <w:i w:val="0"/>
          <w:sz w:val="28"/>
        </w:rPr>
        <w:t>, en términos del tercer párrafo del artículo 17-K. Sólo a partir del envío de ese aviso corre el plazo para abrir el documento digital pendiente de notificar, y sólo a su vencimiento opera la ficción de tener por realizada la notificación. El aviso previo no es un accesorio prescindible: es la condición que legitima la ficción legal de conocimiento.</w:t>
      </w:r>
    </w:p>
    <w:p>
      <w:pPr>
        <w:spacing w:line="360" w:lineRule="auto"/>
        <w:jc w:val="both"/>
      </w:pPr>
      <w:r>
        <w:rPr>
          <w:rFonts w:ascii="Arial" w:hAnsi="Arial"/>
          <w:b w:val="0"/>
          <w:i w:val="0"/>
          <w:sz w:val="28"/>
        </w:rPr>
        <w:t xml:space="preserve">Por su parte, el artículo 68 del Código Fiscal de la Federación acota la presunción de legalidad de los actos fiscales: las autoridades </w:t>
      </w:r>
      <w:r>
        <w:rPr>
          <w:rFonts w:ascii="Arial" w:hAnsi="Arial"/>
          <w:b w:val="0"/>
          <w:i/>
          <w:sz w:val="28"/>
        </w:rPr>
        <w:t>«deberán probar los hechos que motiven los actos o resoluciones cuando el afectado los niegue lisa y llanamente, a menos que la negativa implique la afirmación de otro hecho»</w:t>
      </w:r>
      <w:r>
        <w:rPr>
          <w:rFonts w:ascii="Arial" w:hAnsi="Arial"/>
          <w:b w:val="0"/>
          <w:i w:val="0"/>
          <w:sz w:val="28"/>
        </w:rPr>
        <w:t xml:space="preserve">. La teoría de la argumentación recoge esa misma directiva bajo la fórmula </w:t>
      </w:r>
      <w:r>
        <w:rPr>
          <w:rFonts w:ascii="Arial" w:hAnsi="Arial"/>
          <w:b w:val="0"/>
          <w:i/>
          <w:sz w:val="28"/>
        </w:rPr>
        <w:t>«quien afirma está obligado a probar, no quien niega»</w:t>
      </w:r>
      <w:r>
        <w:rPr>
          <w:rFonts w:ascii="Arial" w:hAnsi="Arial"/>
          <w:b w:val="0"/>
          <w:i w:val="0"/>
          <w:sz w:val="28"/>
        </w:rPr>
        <w:t>, y advierte que deben distinguirse con precisión las cargas de argumentación y las cargas de prueba.</w:t>
      </w:r>
      <w:r>
        <w:rPr>
          <w:rFonts w:ascii="Arial" w:hAnsi="Arial"/>
          <w:vertAlign w:val="superscript"/>
        </w:rPr>
        <w:t>2</w:t>
      </w:r>
    </w:p>
    <w:p>
      <w:pPr>
        <w:spacing w:line="360" w:lineRule="auto"/>
        <w:jc w:val="both"/>
      </w:pPr>
      <w:r>
        <w:rPr>
          <w:rFonts w:ascii="Arial" w:hAnsi="Arial"/>
          <w:b w:val="0"/>
          <w:i w:val="0"/>
          <w:sz w:val="28"/>
        </w:rPr>
        <w:t xml:space="preserve">La doctrina añade que la mejor manera de combatir a quien pretende beneficiarse de la ausencia de prueba consiste, precisamente, en exigir que se atienda la carga probatoria, conforme al aforismo </w:t>
      </w:r>
      <w:r>
        <w:rPr>
          <w:rFonts w:ascii="Arial" w:hAnsi="Arial"/>
          <w:b w:val="0"/>
          <w:i/>
          <w:sz w:val="28"/>
        </w:rPr>
        <w:t>«probat qui dicit, non qui negat»</w:t>
      </w:r>
      <w:r>
        <w:rPr>
          <w:rFonts w:ascii="Arial" w:hAnsi="Arial"/>
          <w:b w:val="0"/>
          <w:i w:val="0"/>
          <w:sz w:val="28"/>
        </w:rPr>
        <w:t>: prueba quien afirma, no quien niega.</w:t>
      </w:r>
      <w:r>
        <w:rPr>
          <w:rFonts w:ascii="Arial" w:hAnsi="Arial"/>
          <w:vertAlign w:val="superscript"/>
        </w:rPr>
        <w:t>3</w:t>
      </w:r>
      <w:r>
        <w:rPr>
          <w:rFonts w:ascii="Arial" w:hAnsi="Arial"/>
          <w:b w:val="0"/>
          <w:i w:val="0"/>
          <w:sz w:val="28"/>
        </w:rPr>
        <w:t xml:space="preserve"> Frente a la negativa lisa y llana de haber recibido el aviso electrónico, corresponde entonces a la autoridad demostrar el hecho positivo del envío con elementos objetivos y verificables, nunca con la mera reiteración de sus propias afirmaciones documentadas por ella misma.</w:t>
      </w:r>
    </w:p>
    <w:p>
      <w:pPr>
        <w:spacing w:line="360" w:lineRule="auto"/>
        <w:jc w:val="both"/>
      </w:pPr>
      <w:r>
        <w:rPr>
          <w:rFonts w:ascii="Arial" w:hAnsi="Arial"/>
          <w:b w:val="0"/>
          <w:i w:val="0"/>
          <w:sz w:val="28"/>
        </w:rPr>
        <w:t>Finalmente, el artículo 16 de la Ley Federal de Procedimiento Contencioso Administrativo ordena estudiar los argumentos contra la notificación antes que los dirigidos contra la resolución, y fija la consecuencia: si se resuelve que no hubo notificación o que fue ilegal, se considerará que la parte actora fue sabedora de la resolución desde la fecha en que manifestó conocerla, quedando sin efectos lo actuado con base en aquella diligencia. Así, computados desde esa fecha los treinta días que prevé el artículo 58-2, párrafo tercero, del mismo ordenamiento, también aplicables en la vía sumaria, la demanda es oportuna.</w:t>
      </w:r>
    </w:p>
    <w:p>
      <w:pPr>
        <w:spacing w:line="360" w:lineRule="auto"/>
        <w:jc w:val="both"/>
      </w:pPr>
      <w:r>
        <w:rPr>
          <w:rFonts w:ascii="Arial" w:hAnsi="Arial"/>
          <w:b/>
          <w:sz w:val="28"/>
        </w:rPr>
        <w:t>IV. APLICACIÓN AL CASO Y REFUTACIÓN. PREMISA MENOR Y SUBSUNCIÓN.</w:t>
      </w:r>
    </w:p>
    <w:p>
      <w:pPr>
        <w:spacing w:line="360" w:lineRule="auto"/>
        <w:jc w:val="both"/>
      </w:pPr>
      <w:r>
        <w:rPr>
          <w:rFonts w:ascii="Arial" w:hAnsi="Arial"/>
          <w:b w:val="0"/>
          <w:i w:val="0"/>
          <w:sz w:val="28"/>
        </w:rPr>
        <w:t xml:space="preserve">La premisa menor se integra con las propias constancias del expediente. El aviso electrónico y la constancia de notificación exhibidos por </w:t>
      </w:r>
      <w:r>
        <w:rPr>
          <w:rFonts w:ascii="Arial" w:hAnsi="Arial"/>
          <w:b/>
          <w:i w:val="0"/>
          <w:sz w:val="28"/>
        </w:rPr>
        <w:t>[AUTORIDAD DEMANDADA]</w:t>
      </w:r>
      <w:r>
        <w:rPr>
          <w:rFonts w:ascii="Arial" w:hAnsi="Arial"/>
          <w:b w:val="0"/>
          <w:i w:val="0"/>
          <w:sz w:val="28"/>
        </w:rPr>
        <w:t xml:space="preserve"> son documentos generados unilateralmente por la misma autoridad que practicó la diligencia; en autos no obra el acuse informático de envío que el sistema del buzón tributario produce, ni bitácora o reporte técnico alguno, ajeno a la voluntad de la emisora, que demuestre que el aviso salió efectivamente hacia el correo </w:t>
      </w:r>
      <w:r>
        <w:rPr>
          <w:rFonts w:ascii="Arial" w:hAnsi="Arial"/>
          <w:b/>
          <w:i w:val="0"/>
          <w:sz w:val="28"/>
        </w:rPr>
        <w:t>[CORREO ELECTRÓNICO REGISTRADO COMO MEDIO DE CONTACTO]</w:t>
      </w:r>
      <w:r>
        <w:rPr>
          <w:rFonts w:ascii="Arial" w:hAnsi="Arial"/>
          <w:b w:val="0"/>
          <w:i w:val="0"/>
          <w:sz w:val="28"/>
        </w:rPr>
        <w:t xml:space="preserve"> y el teléfono </w:t>
      </w:r>
      <w:r>
        <w:rPr>
          <w:rFonts w:ascii="Arial" w:hAnsi="Arial"/>
          <w:b/>
          <w:i w:val="0"/>
          <w:sz w:val="28"/>
        </w:rPr>
        <w:t>[NÚMERO DE TELÉFONO MÓVIL REGISTRADO]</w:t>
      </w:r>
      <w:r>
        <w:rPr>
          <w:rFonts w:ascii="Arial" w:hAnsi="Arial"/>
          <w:b w:val="0"/>
          <w:i w:val="0"/>
          <w:sz w:val="28"/>
        </w:rPr>
        <w:t xml:space="preserve"> antes del depósito del documento digital.</w:t>
      </w:r>
    </w:p>
    <w:p>
      <w:pPr>
        <w:spacing w:line="360" w:lineRule="auto"/>
        <w:jc w:val="both"/>
      </w:pPr>
      <w:r>
        <w:rPr>
          <w:rFonts w:ascii="Arial" w:hAnsi="Arial"/>
          <w:b w:val="0"/>
          <w:i w:val="0"/>
          <w:sz w:val="28"/>
        </w:rPr>
        <w:t xml:space="preserve">El acuse de registro de medios de contacto de fecha </w:t>
      </w:r>
      <w:r>
        <w:rPr>
          <w:rFonts w:ascii="Arial" w:hAnsi="Arial"/>
          <w:b/>
          <w:i w:val="0"/>
          <w:sz w:val="28"/>
        </w:rPr>
        <w:t>[FECHA DEL ACUSE DE REGISTRO DE MEDIOS DE CONTACTO]</w:t>
      </w:r>
      <w:r>
        <w:rPr>
          <w:rFonts w:ascii="Arial" w:hAnsi="Arial"/>
          <w:b w:val="0"/>
          <w:i w:val="0"/>
          <w:sz w:val="28"/>
        </w:rPr>
        <w:t>, que la autoridad también exhibió, tampoco colma esa laguna: dicho acuse únicamente prueba que en su momento se habilitó el buzón y se registraron mecanismos de comunicación, pero nada dice sobre el envío del aviso en la fecha relevante para esta diligencia concreta. Una cosa es la habilitación del buzón, condición necesaria del sistema, y otra muy distinta el aviso previo que debe preceder a cada notificación; derivar de aquélla la legalidad de ésta es un salto lógico que la norma no autoriza.</w:t>
      </w:r>
    </w:p>
    <w:p>
      <w:pPr>
        <w:spacing w:line="360" w:lineRule="auto"/>
        <w:jc w:val="both"/>
      </w:pPr>
      <w:r>
        <w:rPr>
          <w:rFonts w:ascii="Arial" w:hAnsi="Arial"/>
          <w:b w:val="0"/>
          <w:i w:val="0"/>
          <w:sz w:val="28"/>
        </w:rPr>
        <w:t xml:space="preserve">La subsunción es directa: si el envío previo del aviso electrónico es condición de validez de la notificación por buzón tributario conforme a los artículos 17-K y 134, fracción I, del Código Fiscal de la Federación, y ese envío no está demostrado con prueba idónea, entonces el plazo para abrir el documento digital nunca comenzó a correr y la ficción de tener por realizada la notificación a su vencimiento jamás pudo operar. La diligencia practicada el </w:t>
      </w:r>
      <w:r>
        <w:rPr>
          <w:rFonts w:ascii="Arial" w:hAnsi="Arial"/>
          <w:b/>
          <w:i w:val="0"/>
          <w:sz w:val="28"/>
        </w:rPr>
        <w:t>[FECHA DE LA SUPUESTA NOTIFICACIÓN POR BUZÓN TRIBUTARIO]</w:t>
      </w:r>
      <w:r>
        <w:rPr>
          <w:rFonts w:ascii="Arial" w:hAnsi="Arial"/>
          <w:b w:val="0"/>
          <w:i w:val="0"/>
          <w:sz w:val="28"/>
        </w:rPr>
        <w:t xml:space="preserve"> es, por consiguiente, ilegal.</w:t>
      </w:r>
    </w:p>
    <w:p>
      <w:pPr>
        <w:spacing w:line="360" w:lineRule="auto"/>
        <w:jc w:val="both"/>
      </w:pPr>
      <w:r>
        <w:rPr>
          <w:rFonts w:ascii="Arial" w:hAnsi="Arial"/>
          <w:b w:val="0"/>
          <w:i w:val="0"/>
          <w:sz w:val="28"/>
        </w:rPr>
        <w:t xml:space="preserve">Es previsible que la autoridad sostenga, al contestar esta ampliación, que la legalidad de la diligencia deriva de la propia constancia de notificación, porque en ella se hizo constar el envío del aviso. Ese razonamiento incurre en la falacia de petición de principio, pues ¿puede un documento probarse a sí mismo? Postular lo del principio es </w:t>
      </w:r>
      <w:r>
        <w:rPr>
          <w:rFonts w:ascii="Arial" w:hAnsi="Arial"/>
          <w:b w:val="0"/>
          <w:i/>
          <w:sz w:val="28"/>
        </w:rPr>
        <w:t>«demostrar por sí mismo lo que no está claro o no es conocido por sí mismo, esto es: no demostrar»</w:t>
      </w:r>
      <w:r>
        <w:rPr>
          <w:rFonts w:ascii="Arial" w:hAnsi="Arial"/>
          <w:b w:val="0"/>
          <w:i w:val="0"/>
          <w:sz w:val="28"/>
        </w:rPr>
        <w:t>.</w:t>
      </w:r>
      <w:r>
        <w:rPr>
          <w:rFonts w:ascii="Arial" w:hAnsi="Arial"/>
          <w:vertAlign w:val="superscript"/>
        </w:rPr>
        <w:t>4</w:t>
      </w:r>
      <w:r>
        <w:rPr>
          <w:rFonts w:ascii="Arial" w:hAnsi="Arial"/>
          <w:b w:val="0"/>
          <w:i w:val="0"/>
          <w:sz w:val="28"/>
        </w:rPr>
        <w:t xml:space="preserve"> La constancia es exactamente el documento cuya regularidad se cuestiona; tomarla como prueba de su propio contenido es dar por acreditado lo que debía acreditarse.</w:t>
      </w:r>
    </w:p>
    <w:p>
      <w:pPr>
        <w:spacing w:line="360" w:lineRule="auto"/>
        <w:jc w:val="both"/>
      </w:pPr>
      <w:r>
        <w:rPr>
          <w:rFonts w:ascii="Arial" w:hAnsi="Arial"/>
          <w:b w:val="0"/>
          <w:i w:val="0"/>
          <w:sz w:val="28"/>
        </w:rPr>
        <w:t>La estructura del error se advierte al descomponer el argumento: la conclusión pretendida, que la notificación fue legal, se introduce disimuladamente como premisa, pues se asume que la constancia relata hechos ciertos, que es justamente lo debatido. La doctrina describe la operación con claridad: la petición de principio incluye en las premisas, explícita o implícitamente, lo que se trata de probar, con lo cual el razonamiento sólo aparenta demostrar.</w:t>
      </w:r>
      <w:r>
        <w:rPr>
          <w:rFonts w:ascii="Arial" w:hAnsi="Arial"/>
          <w:vertAlign w:val="superscript"/>
        </w:rPr>
        <w:t>5</w:t>
      </w:r>
      <w:r>
        <w:rPr>
          <w:rFonts w:ascii="Arial" w:hAnsi="Arial"/>
          <w:b w:val="0"/>
          <w:i w:val="0"/>
          <w:sz w:val="28"/>
        </w:rPr>
        <w:t xml:space="preserve"> El razonamiento correcto exigiría un elemento externo al documento cuestionado: el acuse de envío del sistema, su bitácora o alguna evidencia técnica verificable.</w:t>
      </w:r>
    </w:p>
    <w:p>
      <w:pPr>
        <w:spacing w:line="360" w:lineRule="auto"/>
        <w:jc w:val="both"/>
      </w:pPr>
      <w:r>
        <w:rPr>
          <w:rFonts w:ascii="Arial" w:hAnsi="Arial"/>
          <w:b w:val="0"/>
          <w:i w:val="0"/>
          <w:sz w:val="28"/>
        </w:rPr>
        <w:t>Tampoco sería admisible responder que corresponde a la parte actora demostrar que el aviso no le fue enviado. Semejante postura configura una inversión de la carga de la prueba, maniobra que la doctrina define como trasladar al oponente la responsabilidad de probar la falsedad de lo que uno afirma.</w:t>
      </w:r>
      <w:r>
        <w:rPr>
          <w:rFonts w:ascii="Arial" w:hAnsi="Arial"/>
          <w:vertAlign w:val="superscript"/>
        </w:rPr>
        <w:t>6</w:t>
      </w:r>
      <w:r>
        <w:rPr>
          <w:rFonts w:ascii="Arial" w:hAnsi="Arial"/>
          <w:b w:val="0"/>
          <w:i w:val="0"/>
          <w:sz w:val="28"/>
        </w:rPr>
        <w:t xml:space="preserve"> La parte actora formuló una negativa lisa y llana que no implica la afirmación de otro hecho; exigirle la demostración de un hecho negativo contraviene frontalmente el artículo 68 del Código Fiscal de la Federación y el artículo 42 de la Ley Federal de Procedimiento Contencioso Administrativo.</w:t>
      </w:r>
    </w:p>
    <w:p>
      <w:pPr>
        <w:spacing w:line="360" w:lineRule="auto"/>
        <w:jc w:val="both"/>
      </w:pPr>
      <w:r>
        <w:rPr>
          <w:rFonts w:ascii="Arial" w:hAnsi="Arial"/>
          <w:b w:val="0"/>
          <w:i w:val="0"/>
          <w:sz w:val="28"/>
        </w:rPr>
        <w:t>No es obstáculo que las constancias administrativas gocen de presunción de legalidad, porque esa presunción es relativa y quedó desactivada desde la negativa lisa y llana: a partir de ella, la carga de acreditar el hecho positivo del envío regresó íntegra a la autoridad, que debió exhibir la evidencia técnica del sistema y no lo hizo. Sostener la validez de la diligencia sin esa prueba equivale a resolver la litis con el puro dicho de una de las partes, lo que ninguna Sala puede admitir sin quebrantar la igualdad procesal.</w:t>
      </w:r>
    </w:p>
    <w:p>
      <w:pPr>
        <w:spacing w:line="360" w:lineRule="auto"/>
        <w:jc w:val="both"/>
      </w:pPr>
      <w:r>
        <w:rPr>
          <w:rFonts w:ascii="Arial" w:hAnsi="Arial"/>
          <w:b w:val="0"/>
          <w:i w:val="0"/>
          <w:sz w:val="28"/>
        </w:rPr>
        <w:t xml:space="preserve">Por último, la irregularidad consistente en que </w:t>
      </w:r>
      <w:r>
        <w:rPr>
          <w:rFonts w:ascii="Arial" w:hAnsi="Arial"/>
          <w:b/>
          <w:i w:val="0"/>
          <w:sz w:val="28"/>
        </w:rPr>
        <w:t>[DEFECTO CONCRETO DE LA CONSTANCIA DE NOTIFICACIÓN]</w:t>
      </w:r>
      <w:r>
        <w:rPr>
          <w:rFonts w:ascii="Arial" w:hAnsi="Arial"/>
          <w:b w:val="0"/>
          <w:i w:val="0"/>
          <w:sz w:val="28"/>
        </w:rPr>
        <w:t xml:space="preserve"> corrobora la ilegalidad denunciada, pues priva a la diligencia de la certeza mínima que exige todo acto de molestia: la persona destinataria debe poder saber, sin conjeturas, qué acto se le notifica, cuándo y por qué medio. La suma de omisiones probatorias e inconsistencias documentales impide tener por satisfechas las formalidades de los artículos 17-K y 134, fracción I, del Código Fiscal de la Federación.</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De todo lo expuesto se concluye el silogismo siguiente. Premisa mayor: la validez de la notificación por buzón tributario exige el envío previo y demostrado del aviso electrónico a los medios de contacto registrados, y la carga de probar ese envío recae en la autoridad cuando media negativa lisa y llana. Premisa menor: en autos no existe prueba idónea del envío del aviso, pues sólo obran documentos autogenerados por la emisora, además de que </w:t>
      </w:r>
      <w:r>
        <w:rPr>
          <w:rFonts w:ascii="Arial" w:hAnsi="Arial"/>
          <w:b/>
          <w:i w:val="0"/>
          <w:sz w:val="28"/>
        </w:rPr>
        <w:t>[DEFECTO CONCRETO DE LA CONSTANCIA DE NOTIFICACIÓN]</w:t>
      </w:r>
      <w:r>
        <w:rPr>
          <w:rFonts w:ascii="Arial" w:hAnsi="Arial"/>
          <w:b w:val="0"/>
          <w:i w:val="0"/>
          <w:sz w:val="28"/>
        </w:rPr>
        <w:t xml:space="preserve">. Conclusión: la notificación practicada el </w:t>
      </w:r>
      <w:r>
        <w:rPr>
          <w:rFonts w:ascii="Arial" w:hAnsi="Arial"/>
          <w:b/>
          <w:i w:val="0"/>
          <w:sz w:val="28"/>
        </w:rPr>
        <w:t>[FECHA DE LA SUPUESTA NOTIFICACIÓN POR BUZÓN TRIBUTARIO]</w:t>
      </w:r>
      <w:r>
        <w:rPr>
          <w:rFonts w:ascii="Arial" w:hAnsi="Arial"/>
          <w:b w:val="0"/>
          <w:i w:val="0"/>
          <w:sz w:val="28"/>
        </w:rPr>
        <w:t xml:space="preserve"> es ilegal.</w:t>
      </w:r>
    </w:p>
    <w:p>
      <w:pPr>
        <w:spacing w:line="360" w:lineRule="auto"/>
        <w:jc w:val="both"/>
      </w:pPr>
      <w:r>
        <w:rPr>
          <w:rFonts w:ascii="Arial" w:hAnsi="Arial"/>
          <w:b w:val="0"/>
          <w:i w:val="0"/>
          <w:sz w:val="28"/>
        </w:rPr>
        <w:t xml:space="preserve">En consecuencia, se solicita atentamente a esta </w:t>
      </w:r>
      <w:r>
        <w:rPr>
          <w:rFonts w:ascii="Arial" w:hAnsi="Arial"/>
          <w:b/>
          <w:i w:val="0"/>
          <w:sz w:val="28"/>
        </w:rPr>
        <w:t>[SALA REGIONAL]</w:t>
      </w:r>
      <w:r>
        <w:rPr>
          <w:rFonts w:ascii="Arial" w:hAnsi="Arial"/>
          <w:b w:val="0"/>
          <w:i w:val="0"/>
          <w:sz w:val="28"/>
        </w:rPr>
        <w:t xml:space="preserve"> que, al dictar sentencia: declare fundado el presente concepto de impugnación; determine la ilegalidad de la notificación por buzón tributario de la resolución contenida en el oficio </w:t>
      </w:r>
      <w:r>
        <w:rPr>
          <w:rFonts w:ascii="Arial" w:hAnsi="Arial"/>
          <w:b/>
          <w:i w:val="0"/>
          <w:sz w:val="28"/>
        </w:rPr>
        <w:t>[NÚMERO DE OFICIO DE LA RESOLUCIÓN IMPUGNADA]</w:t>
      </w:r>
      <w:r>
        <w:rPr>
          <w:rFonts w:ascii="Arial" w:hAnsi="Arial"/>
          <w:b w:val="0"/>
          <w:i w:val="0"/>
          <w:sz w:val="28"/>
        </w:rPr>
        <w:t xml:space="preserve">; considere que </w:t>
      </w:r>
      <w:r>
        <w:rPr>
          <w:rFonts w:ascii="Arial" w:hAnsi="Arial"/>
          <w:b/>
          <w:i w:val="0"/>
          <w:sz w:val="28"/>
        </w:rPr>
        <w:t>[NOMBRE DE LA PARTE ACTORA]</w:t>
      </w:r>
      <w:r>
        <w:rPr>
          <w:rFonts w:ascii="Arial" w:hAnsi="Arial"/>
          <w:b w:val="0"/>
          <w:i w:val="0"/>
          <w:sz w:val="28"/>
        </w:rPr>
        <w:t xml:space="preserve"> fue sabedora de dicha resolución hasta el </w:t>
      </w:r>
      <w:r>
        <w:rPr>
          <w:rFonts w:ascii="Arial" w:hAnsi="Arial"/>
          <w:b/>
          <w:i w:val="0"/>
          <w:sz w:val="28"/>
        </w:rPr>
        <w:t>[FECHA EN QUE LA PARTE ACTORA MANIFESTÓ CONOCER LA RESOLUCIÓN]</w:t>
      </w:r>
      <w:r>
        <w:rPr>
          <w:rFonts w:ascii="Arial" w:hAnsi="Arial"/>
          <w:b w:val="0"/>
          <w:i w:val="0"/>
          <w:sz w:val="28"/>
        </w:rPr>
        <w:t>, en términos del artículo 16, fracción III, de la Ley Federal de Procedimiento Contencioso Administrativo; y tenga por presentada la demanda dentro del plazo legal de treinta días.</w:t>
      </w:r>
    </w:p>
    <w:p>
      <w:pPr>
        <w:spacing w:line="360" w:lineRule="auto"/>
        <w:jc w:val="both"/>
      </w:pPr>
      <w:r>
        <w:rPr>
          <w:rFonts w:ascii="Arial" w:hAnsi="Arial"/>
          <w:b w:val="0"/>
          <w:i w:val="0"/>
          <w:sz w:val="28"/>
        </w:rPr>
        <w:t>Como petición accesoria e inescindible, se solicita desestimar la causal de improcedencia y sobreseimiento que la demandada hace valer con apoyo en el artículo 8, fracción IV, de la Ley Federal de Procedimiento Contencioso Administrativo, pues el consentimiento que dicha causal supone descansa exclusivamente en la notificación aquí desvirtuada; y, hecho lo anterior, proceder al estudio de los conceptos de impugnación enderezados contra la resolución determinante, para resolver el fondo con plenitud.</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89.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 p. 71.</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34.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54.</w:t>
      </w:r>
    </w:p>
    <w:p/>
    <w:p>
      <w:r>
        <w:rPr>
          <w:rFonts w:ascii="Arial" w:hAnsi="Arial"/>
          <w:b/>
          <w:sz w:val="22"/>
        </w:rPr>
        <w:t>BIBLIOGRAFÍA</w:t>
      </w:r>
    </w:p>
    <w:p>
      <w:pPr>
        <w:spacing w:after="60"/>
        <w:ind w:left="360" w:hanging="360"/>
        <w:jc w:val="both"/>
      </w:pP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