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INDEMNIZACIÓN GLOBAL DEL ISSSTE NO ACREDITADA FRENTE A LA PERSONA VIUDA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como concepto de impugnación de tu demanda de nulidad. Primero define la vía y el plazo: en la vía ordinaria, la demanda se presenta dentro de los treinta días siguientes a aquel en que surta efectos la notificación de la resolución impugnada (artículo 13, fracción I, inciso a), de la Ley Federal de Procedimiento Contencioso Administrativo); si tu asunto encuadra en la vía sumaria, el plazo también es de treinta días (artículo 58-2, párrafo tercero). Reúne el oficio impugnado y su constancia de notificación, el acta de matrimonio, el acta de defunción y la Hoja Única de Servicios.</w:t>
      </w:r>
    </w:p>
    <w:p>
      <w:pPr>
        <w:spacing w:line="360" w:lineRule="auto"/>
        <w:jc w:val="both"/>
      </w:pPr>
      <w:r>
        <w:rPr>
          <w:rFonts w:ascii="Arial" w:hAnsi="Arial"/>
          <w:b w:val="0"/>
          <w:i w:val="0"/>
          <w:sz w:val="24"/>
        </w:rPr>
        <w:t>Conserva el párrafo de la negativa lisa y llana tal como está: no le agregues afirmaciones sobre otros hechos, como el destino de las aportaciones, porque la ley exceptúa de la regla la negativa que implica la afirmación de otro hecho. Transcribe el artículo 87 de la Ley del ISSSTE abrogada desde el texto oficial aplicable. Si la resolución sí precisa algún dato del supuesto pago, ajusta el párrafo que enumera lo que omite. Cuando la autoridad conteste, reutiliza el apartado IV en tus alegatos para responder a la prueba que haya exhibido. Ten presente que, en el caso que inspira el machote, la Sala no condenó directamente al pago: declaró la nulidad para efectos, que es lo que reproduce la petición subsidiaria. Si todavía no presentas la solicitud ante el Instituto, conviene pedir en ella, de forma subsidiaria, la indemnización global.</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del ISSSTE.</w:t>
      </w:r>
    </w:p>
    <w:p>
      <w:pPr>
        <w:spacing w:line="360" w:lineRule="auto"/>
        <w:jc w:val="both"/>
      </w:pPr>
      <w:r>
        <w:rPr>
          <w:rFonts w:ascii="Arial" w:hAnsi="Arial"/>
          <w:b/>
          <w:i w:val="0"/>
          <w:sz w:val="24"/>
        </w:rPr>
        <w:t>[FECHA DE LA RESOLUCIÓN IMPUGNADA]</w:t>
      </w:r>
      <w:r>
        <w:rPr>
          <w:rFonts w:ascii="Arial" w:hAnsi="Arial"/>
          <w:b w:val="0"/>
          <w:i w:val="0"/>
          <w:sz w:val="24"/>
        </w:rPr>
        <w:t>: la fecha que lleva el oficio.</w:t>
      </w:r>
    </w:p>
    <w:p>
      <w:pPr>
        <w:spacing w:line="360" w:lineRule="auto"/>
        <w:jc w:val="both"/>
      </w:pPr>
      <w:r>
        <w:rPr>
          <w:rFonts w:ascii="Arial" w:hAnsi="Arial"/>
          <w:b/>
          <w:i w:val="0"/>
          <w:sz w:val="24"/>
        </w:rPr>
        <w:t>[FECHA DE NOTIFICACIÓN DE LA RESOLUCIÓN IMPUGNADA]</w:t>
      </w:r>
      <w:r>
        <w:rPr>
          <w:rFonts w:ascii="Arial" w:hAnsi="Arial"/>
          <w:b w:val="0"/>
          <w:i w:val="0"/>
          <w:sz w:val="24"/>
        </w:rPr>
        <w:t>: el día en que se notificó o se entregó el oficio.</w:t>
      </w:r>
    </w:p>
    <w:p>
      <w:pPr>
        <w:spacing w:line="360" w:lineRule="auto"/>
        <w:jc w:val="both"/>
      </w:pPr>
      <w:r>
        <w:rPr>
          <w:rFonts w:ascii="Arial" w:hAnsi="Arial"/>
          <w:b/>
          <w:i w:val="0"/>
          <w:sz w:val="24"/>
        </w:rPr>
        <w:t>[AUTORIDAD DEMANDADA]</w:t>
      </w:r>
      <w:r>
        <w:rPr>
          <w:rFonts w:ascii="Arial" w:hAnsi="Arial"/>
          <w:b w:val="0"/>
          <w:i w:val="0"/>
          <w:sz w:val="24"/>
        </w:rPr>
        <w:t>: la unidad emisora, con su denominación completa tal como aparece en el oficio.</w:t>
      </w:r>
    </w:p>
    <w:p>
      <w:pPr>
        <w:spacing w:line="360" w:lineRule="auto"/>
        <w:jc w:val="both"/>
      </w:pPr>
      <w:r>
        <w:rPr>
          <w:rFonts w:ascii="Arial" w:hAnsi="Arial"/>
          <w:b/>
          <w:i w:val="0"/>
          <w:sz w:val="24"/>
        </w:rPr>
        <w:t>[FECHA DE LA SOLICITUD PRESENTADA AL INSTITUTO]</w:t>
      </w:r>
      <w:r>
        <w:rPr>
          <w:rFonts w:ascii="Arial" w:hAnsi="Arial"/>
          <w:b w:val="0"/>
          <w:i w:val="0"/>
          <w:sz w:val="24"/>
        </w:rPr>
        <w:t>: la fecha del escrito al que responde el oficio.</w:t>
      </w:r>
    </w:p>
    <w:p>
      <w:pPr>
        <w:spacing w:line="360" w:lineRule="auto"/>
        <w:jc w:val="both"/>
      </w:pPr>
      <w:r>
        <w:rPr>
          <w:rFonts w:ascii="Arial" w:hAnsi="Arial"/>
          <w:b/>
          <w:i w:val="0"/>
          <w:sz w:val="24"/>
        </w:rPr>
        <w:t>[NOMBRE DE LA PARTE ACTORA]</w:t>
      </w:r>
      <w:r>
        <w:rPr>
          <w:rFonts w:ascii="Arial" w:hAnsi="Arial"/>
          <w:b w:val="0"/>
          <w:i w:val="0"/>
          <w:sz w:val="24"/>
        </w:rPr>
        <w:t>: la persona viuda que demanda.</w:t>
      </w:r>
    </w:p>
    <w:p>
      <w:pPr>
        <w:spacing w:line="360" w:lineRule="auto"/>
        <w:jc w:val="both"/>
      </w:pPr>
      <w:r>
        <w:rPr>
          <w:rFonts w:ascii="Arial" w:hAnsi="Arial"/>
          <w:b/>
          <w:i w:val="0"/>
          <w:sz w:val="24"/>
        </w:rPr>
        <w:t>[NOMBRE DE LA PERSONA TRABAJADORA FALLECIDA]</w:t>
      </w:r>
      <w:r>
        <w:rPr>
          <w:rFonts w:ascii="Arial" w:hAnsi="Arial"/>
          <w:b w:val="0"/>
          <w:i w:val="0"/>
          <w:sz w:val="24"/>
        </w:rPr>
        <w:t>: el nombre completo del cónyuge fallecido.</w:t>
      </w:r>
    </w:p>
    <w:p>
      <w:pPr>
        <w:spacing w:line="360" w:lineRule="auto"/>
        <w:jc w:val="both"/>
      </w:pPr>
      <w:r>
        <w:rPr>
          <w:rFonts w:ascii="Arial" w:hAnsi="Arial"/>
          <w:b/>
          <w:i w:val="0"/>
          <w:sz w:val="24"/>
        </w:rPr>
        <w:t>[FECHA DE FALLECIMIENTO]</w:t>
      </w:r>
      <w:r>
        <w:rPr>
          <w:rFonts w:ascii="Arial" w:hAnsi="Arial"/>
          <w:b w:val="0"/>
          <w:i w:val="0"/>
          <w:sz w:val="24"/>
        </w:rPr>
        <w:t>: la que consta en el acta de defunción.</w:t>
      </w:r>
    </w:p>
    <w:p>
      <w:pPr>
        <w:spacing w:line="360" w:lineRule="auto"/>
        <w:jc w:val="both"/>
      </w:pPr>
      <w:r>
        <w:rPr>
          <w:rFonts w:ascii="Arial" w:hAnsi="Arial"/>
          <w:b/>
          <w:i w:val="0"/>
          <w:sz w:val="24"/>
        </w:rPr>
        <w:t>[DOCUMENTO QUE ACREDITA EL MATRIMONIO]</w:t>
      </w:r>
      <w:r>
        <w:rPr>
          <w:rFonts w:ascii="Arial" w:hAnsi="Arial"/>
          <w:b w:val="0"/>
          <w:i w:val="0"/>
          <w:sz w:val="24"/>
        </w:rPr>
        <w:t>: el acta de matrimonio, con sus datos de identificación.</w:t>
      </w:r>
    </w:p>
    <w:p>
      <w:pPr>
        <w:spacing w:line="360" w:lineRule="auto"/>
        <w:jc w:val="both"/>
      </w:pPr>
      <w:r>
        <w:rPr>
          <w:rFonts w:ascii="Arial" w:hAnsi="Arial"/>
          <w:b/>
          <w:i w:val="0"/>
          <w:sz w:val="24"/>
        </w:rPr>
        <w:t>[PERIODO DE SERVICIOS SEGÚN LA HOJA ÚNICA DE SERVICIOS]</w:t>
      </w:r>
      <w:r>
        <w:rPr>
          <w:rFonts w:ascii="Arial" w:hAnsi="Arial"/>
          <w:b w:val="0"/>
          <w:i w:val="0"/>
          <w:sz w:val="24"/>
        </w:rPr>
        <w:t>: fechas de inicio y fin y el total en años, meses y días.</w:t>
      </w:r>
    </w:p>
    <w:p>
      <w:pPr>
        <w:spacing w:line="360" w:lineRule="auto"/>
        <w:jc w:val="both"/>
      </w:pPr>
      <w:r>
        <w:rPr>
          <w:rFonts w:ascii="Arial" w:hAnsi="Arial"/>
          <w:b/>
          <w:i w:val="0"/>
          <w:sz w:val="24"/>
        </w:rPr>
        <w:t>[TRANSCRIPCIÓN DEL ARTÍCULO 87 DE LA LEY DEL ISSSTE ABROGADA, TOMADA DEL TEXTO OFICIAL APLICABLE]</w:t>
      </w:r>
      <w:r>
        <w:rPr>
          <w:rFonts w:ascii="Arial" w:hAnsi="Arial"/>
          <w:b w:val="0"/>
          <w:i w:val="0"/>
          <w:sz w:val="24"/>
        </w:rPr>
        <w:t>: el texto íntegro del precepto, verificado en una fuente oficial.</w:t>
      </w:r>
    </w:p>
    <w:p>
      <w:pPr>
        <w:spacing w:line="360" w:lineRule="auto"/>
        <w:jc w:val="both"/>
      </w:pPr>
      <w:r>
        <w:rPr>
          <w:rFonts w:ascii="Arial" w:hAnsi="Arial"/>
          <w:b/>
          <w:i w:val="0"/>
          <w:sz w:val="24"/>
        </w:rPr>
        <w:t>[PRUEBA QUE EXHIBA LA AUTORIDAD PARA SOSTENER EL PAGO]</w:t>
      </w:r>
      <w:r>
        <w:rPr>
          <w:rFonts w:ascii="Arial" w:hAnsi="Arial"/>
          <w:b w:val="0"/>
          <w:i w:val="0"/>
          <w:sz w:val="24"/>
        </w:rPr>
        <w:t>: si ya la conoces, descríbela; si no, deja la referencia genérica a la impresión o captura de pantalla de su sistema.</w:t>
      </w:r>
    </w:p>
    <w:p/>
    <w:p>
      <w:pPr>
        <w:spacing w:line="360" w:lineRule="auto"/>
        <w:jc w:val="both"/>
      </w:pPr>
      <w:r>
        <w:rPr>
          <w:rFonts w:ascii="Arial" w:hAnsi="Arial"/>
          <w:b/>
          <w:sz w:val="28"/>
        </w:rPr>
        <w:t>[NÚMERO ORDINAL DEL CONCEPTO] CONCEPTO DE IMPUGNACIÓN. Indebida motivación de la resolución que niega todo beneficio a la persona viuda. La autoridad sostiene que la persona trabajadora fallecida cobró la indemnización global, pero, frente a la negativa lisa y llana de ese hecho, no lo acredita con documento idóneo, por lo que se actualizan las causales de nulidad previstas en el artículo 51, fracciones IV y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en respuesta a la solicitud presentada el </w:t>
      </w:r>
      <w:r>
        <w:rPr>
          <w:rFonts w:ascii="Arial" w:hAnsi="Arial"/>
          <w:b/>
          <w:i w:val="0"/>
          <w:sz w:val="28"/>
        </w:rPr>
        <w:t>[FECHA DE LA SOLICITUD PRESENTADA AL INSTITUTO]</w:t>
      </w:r>
      <w:r>
        <w:rPr>
          <w:rFonts w:ascii="Arial" w:hAnsi="Arial"/>
          <w:b w:val="0"/>
          <w:i w:val="0"/>
          <w:sz w:val="28"/>
        </w:rPr>
        <w:t xml:space="preserve">, niega a </w:t>
      </w:r>
      <w:r>
        <w:rPr>
          <w:rFonts w:ascii="Arial" w:hAnsi="Arial"/>
          <w:b/>
          <w:i w:val="0"/>
          <w:sz w:val="28"/>
        </w:rPr>
        <w:t>[NOMBRE DE LA PARTE ACTORA]</w:t>
      </w:r>
      <w:r>
        <w:rPr>
          <w:rFonts w:ascii="Arial" w:hAnsi="Arial"/>
          <w:b w:val="0"/>
          <w:i w:val="0"/>
          <w:sz w:val="28"/>
        </w:rPr>
        <w:t xml:space="preserve"> toda prestación derivada del fallecimiento de su cónyuge, </w:t>
      </w:r>
      <w:r>
        <w:rPr>
          <w:rFonts w:ascii="Arial" w:hAnsi="Arial"/>
          <w:b/>
          <w:i w:val="0"/>
          <w:sz w:val="28"/>
        </w:rPr>
        <w:t>[NOMBRE DE LA PERSONA TRABAJADORA FALLECIDA]</w:t>
      </w:r>
      <w:r>
        <w:rPr>
          <w:rFonts w:ascii="Arial" w:hAnsi="Arial"/>
          <w:b w:val="0"/>
          <w:i w:val="0"/>
          <w:sz w:val="28"/>
        </w:rPr>
        <w:t>, con apoyo en un solo hecho que nunca se probó: que esa persona se acogió a la indemnización global y la cobró.</w:t>
      </w:r>
    </w:p>
    <w:p>
      <w:pPr>
        <w:spacing w:line="360" w:lineRule="auto"/>
        <w:jc w:val="both"/>
      </w:pPr>
      <w:r>
        <w:rPr>
          <w:rFonts w:ascii="Arial" w:hAnsi="Arial"/>
          <w:b w:val="0"/>
          <w:i w:val="0"/>
          <w:sz w:val="28"/>
        </w:rPr>
        <w:t>La negativa del Instituto descansa sobre esa premisa fáctica, que la parte actora niega lisa y llanamente. Conforme al artículo 42 de la Ley Federal de Procedimiento Contencioso Administrativo, tal negativa traslada a la autoridad la carga de demostrar el hecho que motiva su acto, y el medio idóneo para hacerlo es la documentación del pago efectivo: la resolución que concedió la indemnización y el título de crédito o la constancia de transferencia debidamente cobrada.</w:t>
      </w:r>
    </w:p>
    <w:p>
      <w:pPr>
        <w:spacing w:line="360" w:lineRule="auto"/>
        <w:jc w:val="both"/>
      </w:pPr>
      <w:r>
        <w:rPr>
          <w:rFonts w:ascii="Arial" w:hAnsi="Arial"/>
          <w:b w:val="0"/>
          <w:i w:val="0"/>
          <w:sz w:val="28"/>
        </w:rPr>
        <w:t>Si el pago no se acredita, la consecuencia es doble. Por un lado, el motivo de la negativa se desploma, porque el hecho que la sustenta no se realizó o se apreció en forma equivocada; por otro, queda expedito el derecho de la parte actora a percibir, como beneficiaria, la indemnización global que la persona trabajadora no recibió en vida. Por ello se pide la nulidad de la resolución y la condena a ese pago o, en su defecto, la nulidad para que la autoridad demuestre con documento fehaciente que pagó o, de no haberlo hecho, pague.</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el oficio </w:t>
      </w:r>
      <w:r>
        <w:rPr>
          <w:rFonts w:ascii="Arial" w:hAnsi="Arial"/>
          <w:b/>
          <w:i w:val="0"/>
          <w:sz w:val="28"/>
        </w:rPr>
        <w:t>[NÚMERO DE OFICIO DE LA RESOLUCIÓN IMPUGNADA]</w:t>
      </w:r>
      <w:r>
        <w:rPr>
          <w:rFonts w:ascii="Arial" w:hAnsi="Arial"/>
          <w:b w:val="0"/>
          <w:i w:val="0"/>
          <w:sz w:val="28"/>
        </w:rPr>
        <w:t xml:space="preserve">, notificado el </w:t>
      </w:r>
      <w:r>
        <w:rPr>
          <w:rFonts w:ascii="Arial" w:hAnsi="Arial"/>
          <w:b/>
          <w:i w:val="0"/>
          <w:sz w:val="28"/>
        </w:rPr>
        <w:t>[FECHA DE NOTIFICACIÓN DE LA RESOLUCIÓN IMPUGNADA]</w:t>
      </w:r>
      <w:r>
        <w:rPr>
          <w:rFonts w:ascii="Arial" w:hAnsi="Arial"/>
          <w:b w:val="0"/>
          <w:i w:val="0"/>
          <w:sz w:val="28"/>
        </w:rPr>
        <w:t>, en el que la autoridad demandada informó, en síntesis, tres cosas: que la persona trabajadora fallecida se apegó al beneficio de indemnización global; que no se inconformó en el plazo establecido al obtenerlo, de modo que su derecho a reclamarlo habría fenecido; y que, en consecuencia, resultaba improcedente otorgar a la parte actora un beneficio pensionario.</w:t>
      </w:r>
    </w:p>
    <w:p>
      <w:pPr>
        <w:spacing w:line="360" w:lineRule="auto"/>
        <w:jc w:val="both"/>
      </w:pPr>
      <w:r>
        <w:rPr>
          <w:rFonts w:ascii="Arial" w:hAnsi="Arial"/>
          <w:b w:val="0"/>
          <w:i w:val="0"/>
          <w:sz w:val="28"/>
        </w:rPr>
        <w:t>Las normas cuya inobservancia se plantea son el artículo 16, primer párrafo, de la Constitución Política de los Estados Unidos Mexicanos, que obliga a toda autoridad a fundar y motivar la causa legal del acto de molestia, y el 123, apartado B, fracción XI, inciso a), del propio texto fundamental, que incluye la muerte entre las contingencias que la seguridad social de quienes sirven al Estado debe cubrir.</w:t>
      </w:r>
    </w:p>
    <w:p>
      <w:pPr>
        <w:spacing w:line="360" w:lineRule="auto"/>
        <w:jc w:val="both"/>
      </w:pPr>
      <w:r>
        <w:rPr>
          <w:rFonts w:ascii="Arial" w:hAnsi="Arial"/>
          <w:b w:val="0"/>
          <w:i w:val="0"/>
          <w:sz w:val="28"/>
        </w:rPr>
        <w:t>La controversia, por su parte, ha de resolverse conforme a los numerales 40, párrafo primero, 42 y 46 de la Ley Federal de Procedimiento Contencioso Administrativo, que distribuyen la carga de la prueba en el juicio y fijan las reglas para valorarla.</w:t>
      </w:r>
    </w:p>
    <w:p>
      <w:pPr>
        <w:spacing w:line="360" w:lineRule="auto"/>
        <w:jc w:val="both"/>
      </w:pPr>
      <w:r>
        <w:rPr>
          <w:rFonts w:ascii="Arial" w:hAnsi="Arial"/>
          <w:b/>
          <w:i w:val="0"/>
          <w:sz w:val="28"/>
        </w:rPr>
        <w:t>Negativa lisa y llana.</w:t>
      </w:r>
      <w:r>
        <w:rPr>
          <w:rFonts w:ascii="Arial" w:hAnsi="Arial"/>
          <w:b w:val="0"/>
          <w:i w:val="0"/>
          <w:sz w:val="28"/>
        </w:rPr>
        <w:t xml:space="preserve"> Para los efectos del artículo 42 de la ley procesal citada, la parte actora niega lisa y llanamente que </w:t>
      </w:r>
      <w:r>
        <w:rPr>
          <w:rFonts w:ascii="Arial" w:hAnsi="Arial"/>
          <w:b/>
          <w:i w:val="0"/>
          <w:sz w:val="28"/>
        </w:rPr>
        <w:t>[NOMBRE DE LA PERSONA TRABAJADORA FALLECIDA]</w:t>
      </w:r>
      <w:r>
        <w:rPr>
          <w:rFonts w:ascii="Arial" w:hAnsi="Arial"/>
          <w:b w:val="0"/>
          <w:i w:val="0"/>
          <w:sz w:val="28"/>
        </w:rPr>
        <w:t xml:space="preserve"> haya recibido o cobrado, en cualquier momento, la indemnización global que la autoridad le atribuye. Esta negativa no envuelve la afirmación de ningún otro hecho y, por tanto, deja íntegra en la demandada la carga de probar el pago.</w:t>
      </w:r>
    </w:p>
    <w:p>
      <w:pPr>
        <w:spacing w:line="360" w:lineRule="auto"/>
        <w:jc w:val="both"/>
      </w:pPr>
      <w:r>
        <w:rPr>
          <w:rFonts w:ascii="Arial" w:hAnsi="Arial"/>
          <w:b w:val="0"/>
          <w:i w:val="0"/>
          <w:sz w:val="28"/>
        </w:rPr>
        <w:t xml:space="preserve">El perjuicio es directo e inmediato. Con base en un hecho no demostrado, se priva a la parte actora de toda prestación derivada de la muerte de su cónyuge, ocurrida el </w:t>
      </w:r>
      <w:r>
        <w:rPr>
          <w:rFonts w:ascii="Arial" w:hAnsi="Arial"/>
          <w:b/>
          <w:i w:val="0"/>
          <w:sz w:val="28"/>
        </w:rPr>
        <w:t>[FECHA DE FALLECIMIENTO]</w:t>
      </w:r>
      <w:r>
        <w:rPr>
          <w:rFonts w:ascii="Arial" w:hAnsi="Arial"/>
          <w:b w:val="0"/>
          <w:i w:val="0"/>
          <w:sz w:val="28"/>
        </w:rPr>
        <w:t>, y se le cierra incluso la vía de la indemnización global, que constituye el piso de protección que subsiste cuando la persona trabajadora no reunió el tiempo de cotización necesario para generar una pensión.</w:t>
      </w:r>
    </w:p>
    <w:p>
      <w:pPr>
        <w:spacing w:line="360" w:lineRule="auto"/>
        <w:jc w:val="both"/>
      </w:pPr>
      <w:r>
        <w:rPr>
          <w:rFonts w:ascii="Arial" w:hAnsi="Arial"/>
          <w:b w:val="0"/>
          <w:i w:val="0"/>
          <w:sz w:val="28"/>
        </w:rPr>
        <w:t xml:space="preserve">Con independencia del tiempo de servicios que refleja la Hoja Única de Servicios, de </w:t>
      </w:r>
      <w:r>
        <w:rPr>
          <w:rFonts w:ascii="Arial" w:hAnsi="Arial"/>
          <w:b/>
          <w:i w:val="0"/>
          <w:sz w:val="28"/>
        </w:rPr>
        <w:t>[PERIODO DE SERVICIOS SEGÚN LA HOJA ÚNICA DE SERVICIOS]</w:t>
      </w:r>
      <w:r>
        <w:rPr>
          <w:rFonts w:ascii="Arial" w:hAnsi="Arial"/>
          <w:b w:val="0"/>
          <w:i w:val="0"/>
          <w:sz w:val="28"/>
        </w:rPr>
        <w:t>, este concepto se dirige contra el hecho en que la autoridad apoyó su negativa. Su objeto es demostrar que esa afirmación carece de prueba y que, al caer, arrastra consigo la conclusión de que nada se adeuda a la persona beneficiaria.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El punto de partida es constitucional. El artículo 16, primer párrafo, de la Constitución General exige que todo acto de molestia se emita por escrito, por autoridad competente, y que funde y motive la causa legal del procedimiento. Esa exigencia no se satisface con la sola enunciación de un motivo: el motivo debe existir y debe corresponder a los hechos del caso.</w:t>
      </w:r>
    </w:p>
    <w:p>
      <w:pPr>
        <w:spacing w:line="360" w:lineRule="auto"/>
        <w:jc w:val="both"/>
      </w:pPr>
      <w:r>
        <w:rPr>
          <w:rFonts w:ascii="Arial" w:hAnsi="Arial"/>
          <w:b w:val="0"/>
          <w:i w:val="0"/>
          <w:sz w:val="28"/>
        </w:rPr>
        <w:t>La doctrina distingue, por ello, entre la motivación formal y la material. Esta última atiende a si las razones que expresa la autoridad conducen verdaderamente a las consecuencias jurídicas que de ellas extrae, porque motivar una decisión supone obligar a quien la toma a tener razones y no sólo a enunciarlas.</w:t>
      </w:r>
      <w:r>
        <w:rPr>
          <w:rFonts w:ascii="Arial" w:hAnsi="Arial"/>
          <w:vertAlign w:val="superscript"/>
        </w:rPr>
        <w:t>1</w:t>
      </w:r>
      <w:r>
        <w:rPr>
          <w:rFonts w:ascii="Arial" w:hAnsi="Arial"/>
          <w:b w:val="0"/>
          <w:i w:val="0"/>
          <w:sz w:val="28"/>
        </w:rPr>
        <w:t xml:space="preserve"> Un motivo que descansa en un hecho no demostrado es un motivo aparente: la autoridad lo expresa, pero no lo tiene.</w:t>
      </w:r>
    </w:p>
    <w:p>
      <w:pPr>
        <w:spacing w:line="360" w:lineRule="auto"/>
        <w:jc w:val="both"/>
      </w:pPr>
      <w:r>
        <w:rPr>
          <w:rFonts w:ascii="Arial" w:hAnsi="Arial"/>
          <w:b w:val="0"/>
          <w:i w:val="0"/>
          <w:sz w:val="28"/>
        </w:rPr>
        <w:t xml:space="preserve">En el juicio contencioso administrativo, esa exigencia constitucional se traduce en una regla probatoria precisa. El artículo 42 de la Ley Federal de Procedimiento Contencioso Administrativo dispone que las resoluciones y actos administrativos se presumirán legales, pero que </w:t>
      </w:r>
      <w:r>
        <w:rPr>
          <w:rFonts w:ascii="Arial" w:hAnsi="Arial"/>
          <w:b w:val="0"/>
          <w:i/>
          <w:sz w:val="28"/>
        </w:rPr>
        <w:t>“las autoridades deberán probar los hechos que los motiven cuando la persona afectada los niegue lisa y llanamente, a menos que la negativa implique la afirmación de otro hecho”</w:t>
      </w:r>
      <w:r>
        <w:rPr>
          <w:rFonts w:ascii="Arial" w:hAnsi="Arial"/>
          <w:b w:val="0"/>
          <w:i w:val="0"/>
          <w:sz w:val="28"/>
        </w:rPr>
        <w:t>.</w:t>
      </w:r>
    </w:p>
    <w:p>
      <w:pPr>
        <w:spacing w:line="360" w:lineRule="auto"/>
        <w:jc w:val="both"/>
      </w:pPr>
      <w:r>
        <w:rPr>
          <w:rFonts w:ascii="Arial" w:hAnsi="Arial"/>
          <w:b w:val="0"/>
          <w:i w:val="0"/>
          <w:sz w:val="28"/>
        </w:rPr>
        <w:t>La presunción de legalidad es, entonces, relativa: cede ante la negativa lisa y llana del hecho que motiva el acto. Desde ese momento, el acto administrativo ya no se sostiene por su sola emisión, y la autoridad debe acreditar en juicio, con los medios que la ley admite, que el hecho que invocó efectivamente ocurrió.</w:t>
      </w:r>
    </w:p>
    <w:p>
      <w:pPr>
        <w:spacing w:line="360" w:lineRule="auto"/>
        <w:jc w:val="both"/>
      </w:pPr>
      <w:r>
        <w:rPr>
          <w:rFonts w:ascii="Arial" w:hAnsi="Arial"/>
          <w:b w:val="0"/>
          <w:i w:val="0"/>
          <w:sz w:val="28"/>
        </w:rPr>
        <w:t>La regla recoge una directiva clásica del razonamiento probatorio: quien afirma está obligado a probar, no quien niega. Quien formula un argumento apoyado en negaciones puede tener la carga de justificar su posición, pero no el deber, imposible de cumplir, de demostrar hechos que nunca sucedieron; corresponde a su oponente, que tiene el interés contrario, demostrar que esos hechos sí ocurrieron.</w:t>
      </w:r>
      <w:r>
        <w:rPr>
          <w:rFonts w:ascii="Arial" w:hAnsi="Arial"/>
          <w:vertAlign w:val="superscript"/>
        </w:rPr>
        <w:t>2</w:t>
      </w:r>
    </w:p>
    <w:p>
      <w:pPr>
        <w:spacing w:line="360" w:lineRule="auto"/>
        <w:jc w:val="both"/>
      </w:pPr>
      <w:r>
        <w:rPr>
          <w:rFonts w:ascii="Arial" w:hAnsi="Arial"/>
          <w:b w:val="0"/>
          <w:i w:val="0"/>
          <w:sz w:val="28"/>
        </w:rPr>
        <w:t>En la misma línea, el principio de la carga de la prueba postula que quien afirma un hecho en el proceso debe probarlo, de modo que la sola declaración del funcionario cuya actuación se cuestiona no basta para tener por acreditada la verdad de su dicho.</w:t>
      </w:r>
      <w:r>
        <w:rPr>
          <w:rFonts w:ascii="Arial" w:hAnsi="Arial"/>
          <w:vertAlign w:val="superscript"/>
        </w:rPr>
        <w:t>3</w:t>
      </w:r>
      <w:r>
        <w:rPr>
          <w:rFonts w:ascii="Arial" w:hAnsi="Arial"/>
          <w:b w:val="0"/>
          <w:i w:val="0"/>
          <w:sz w:val="28"/>
        </w:rPr>
        <w:t xml:space="preserve"> La afirmación de la autoridad, por oficial que sea, es el objeto de la prueba; no puede ser, al mismo tiempo, la prueba de sí misma.</w:t>
      </w:r>
    </w:p>
    <w:p>
      <w:pPr>
        <w:spacing w:line="360" w:lineRule="auto"/>
        <w:jc w:val="both"/>
      </w:pPr>
      <w:r>
        <w:rPr>
          <w:rFonts w:ascii="Arial" w:hAnsi="Arial"/>
          <w:b w:val="0"/>
          <w:i w:val="0"/>
          <w:sz w:val="28"/>
        </w:rPr>
        <w:t>El artículo 40, párrafo primero, del ordenamiento adjetivo confirma esa distribución, pues impone a la persona actora la prueba de los hechos de los que deriva su derecho y a la persona demandada la de sus excepciones. El pago es el hecho extintivo por excelencia de una obligación: quien sostiene que la deuda se extinguió porque ya se cubrió introduce una excepción y, por ende, asume su prueba.</w:t>
      </w:r>
    </w:p>
    <w:p>
      <w:pPr>
        <w:spacing w:line="360" w:lineRule="auto"/>
        <w:jc w:val="both"/>
      </w:pPr>
      <w:r>
        <w:rPr>
          <w:rFonts w:ascii="Arial" w:hAnsi="Arial"/>
          <w:b w:val="0"/>
          <w:i w:val="0"/>
          <w:sz w:val="28"/>
        </w:rPr>
        <w:t>El artículo 46 de la misma ley regula la valoración. Su fracción I otorga valor pleno a los hechos legalmente afirmados por autoridad en documentos públicos, incluidos los digitales, y su fracción III deja a la prudente apreciación de la Sala el valor de las demás pruebas. El acto de pago de una indemnización consta, por su naturaleza, en la resolución que la concede y en el título o la transferencia que se cobró; una captura de pantalla de una consulta interna reproduce, en cambio, la imagen de un registro que la propia oferente alimenta y controla.</w:t>
      </w:r>
    </w:p>
    <w:p>
      <w:pPr>
        <w:spacing w:line="360" w:lineRule="auto"/>
        <w:jc w:val="both"/>
      </w:pPr>
      <w:r>
        <w:rPr>
          <w:rFonts w:ascii="Arial" w:hAnsi="Arial"/>
          <w:b w:val="0"/>
          <w:i w:val="0"/>
          <w:sz w:val="28"/>
        </w:rPr>
        <w:t>Una probanza de ese tipo opera, a lo sumo, como indicio. En la teoría de la prueba indirecta, el indicio es el hecho que prueba (factum probans) y sólo permite inferir el hecho por probar (factum probandum) cuando se exponen las razones pertinentes, como máximas de experiencia o una presunción legal; aun entonces, la inferencia sólo alcanza un grado de probabilidad y puede ser refutada por otra evidencia de mayor peso.</w:t>
      </w:r>
      <w:r>
        <w:rPr>
          <w:rFonts w:ascii="Arial" w:hAnsi="Arial"/>
          <w:vertAlign w:val="superscript"/>
        </w:rPr>
        <w:t>4</w:t>
      </w:r>
    </w:p>
    <w:p>
      <w:pPr>
        <w:spacing w:line="360" w:lineRule="auto"/>
        <w:jc w:val="both"/>
      </w:pPr>
      <w:r>
        <w:rPr>
          <w:rFonts w:ascii="Arial" w:hAnsi="Arial"/>
          <w:b w:val="0"/>
          <w:i w:val="0"/>
          <w:sz w:val="28"/>
        </w:rPr>
        <w:t>Aplicado al pago, el esquema es claro. Que en el sistema del Instituto aparezca un registro de indemnización global acredita, cuando mucho, la existencia de ese asiento; el paso hacia el hecho que importa, que el dinero llegó efectivamente a manos de la persona trabajadora, exige una inferencia que la autoridad debe formular y respaldar, y que la negativa lisa y llana de la parte actora contradice.</w:t>
      </w:r>
    </w:p>
    <w:p>
      <w:pPr>
        <w:spacing w:line="360" w:lineRule="auto"/>
        <w:jc w:val="both"/>
      </w:pPr>
      <w:r>
        <w:rPr>
          <w:rFonts w:ascii="Arial" w:hAnsi="Arial"/>
          <w:b w:val="0"/>
          <w:i w:val="0"/>
          <w:sz w:val="28"/>
        </w:rPr>
        <w:t xml:space="preserve">El estándar descrito no es una construcción meramente teórica. A título ilustrativo, y sin invocarla como precedente obligatorio, una Sala Regional de este Tribunal, en un caso análogo resuelto en dos mil veintiséis, exigió al Instituto la resolución formal de concesión y el título de crédito o la constancia de transferencia debidamente cobrada, y calificó la captura de pantalla de su sistema interno de consultas como </w:t>
      </w:r>
      <w:r>
        <w:rPr>
          <w:rFonts w:ascii="Arial" w:hAnsi="Arial"/>
          <w:b w:val="0"/>
          <w:i/>
          <w:sz w:val="28"/>
        </w:rPr>
        <w:t>“un mero indicio que carece de valor probatorio pleno”</w:t>
      </w:r>
      <w:r>
        <w:rPr>
          <w:rFonts w:ascii="Arial" w:hAnsi="Arial"/>
          <w:b w:val="0"/>
          <w:i w:val="0"/>
          <w:sz w:val="28"/>
        </w:rPr>
        <w:t>, máxime ante la negativa lisa y llana de la viuda.</w:t>
      </w:r>
    </w:p>
    <w:p>
      <w:pPr>
        <w:spacing w:line="360" w:lineRule="auto"/>
        <w:jc w:val="both"/>
      </w:pPr>
      <w:r>
        <w:rPr>
          <w:rFonts w:ascii="Arial" w:hAnsi="Arial"/>
          <w:b w:val="0"/>
          <w:i w:val="0"/>
          <w:sz w:val="28"/>
        </w:rPr>
        <w:t xml:space="preserve">Por último, el derecho cuya protección se reclama tiene base constitucional expresa. El artículo 123, apartado B, fracción XI, inciso a), de la Carta Magna dispone que la seguridad social de los trabajadores al servicio del Estado cubrirá, entre otras contingencias, la muerte, y el legislador ordinario reguló la indemnización global en el artículo 87 de la Ley del Instituto de Seguridad y Servicios Sociales de los Trabajadores del Estado abrogada, cuyo texto aplicable se transcribe enseguida: </w:t>
      </w:r>
      <w:r>
        <w:rPr>
          <w:rFonts w:ascii="Arial" w:hAnsi="Arial"/>
          <w:b/>
          <w:i w:val="0"/>
          <w:sz w:val="28"/>
        </w:rPr>
        <w:t>[TRANSCRIPCIÓN DEL ARTÍCULO 87 DE LA LEY DEL ISSSTE ABROGADA, TOMADA DEL TEXTO OFICIAL APLICABLE]</w:t>
      </w:r>
      <w:r>
        <w:rPr>
          <w:rFonts w:ascii="Arial" w:hAnsi="Arial"/>
          <w:b w:val="0"/>
          <w:i w:val="0"/>
          <w:sz w:val="28"/>
        </w:rPr>
        <w:t>.</w:t>
      </w:r>
    </w:p>
    <w:p>
      <w:pPr>
        <w:spacing w:line="360" w:lineRule="auto"/>
        <w:jc w:val="both"/>
      </w:pPr>
      <w:r>
        <w:rPr>
          <w:rFonts w:ascii="Arial" w:hAnsi="Arial"/>
          <w:b w:val="0"/>
          <w:i w:val="0"/>
          <w:sz w:val="28"/>
        </w:rPr>
        <w:t>En el caso análogo antes referido, la Sala precisó que a la viuda, en su calidad de beneficiaria sustituta, le asiste el derecho a percibir esa indemnización global, única y exclusivamente en el supuesto de que la autoridad no la hubiera otorgado materialmente a la persona trabajadora, y declaró la nulidad para el efecto de que el Instituto acreditara la entrega con documento fehaciente o, de no haberla realizado, cubriera la cantidad que en derecho correspondiera. El derecho, así, pende del mismo hecho que el Instituto afirma y no prueba: por eso la prueba del pago es la bisagra de toda la controversia.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en la premisa expuesta. La parte actora contrajo matrimonio con </w:t>
      </w:r>
      <w:r>
        <w:rPr>
          <w:rFonts w:ascii="Arial" w:hAnsi="Arial"/>
          <w:b/>
          <w:i w:val="0"/>
          <w:sz w:val="28"/>
        </w:rPr>
        <w:t>[NOMBRE DE LA PERSONA TRABAJADORA FALLECIDA]</w:t>
      </w:r>
      <w:r>
        <w:rPr>
          <w:rFonts w:ascii="Arial" w:hAnsi="Arial"/>
          <w:b w:val="0"/>
          <w:i w:val="0"/>
          <w:sz w:val="28"/>
        </w:rPr>
        <w:t xml:space="preserve">, como consta en </w:t>
      </w:r>
      <w:r>
        <w:rPr>
          <w:rFonts w:ascii="Arial" w:hAnsi="Arial"/>
          <w:b/>
          <w:i w:val="0"/>
          <w:sz w:val="28"/>
        </w:rPr>
        <w:t>[DOCUMENTO QUE ACREDITA EL MATRIMONIO]</w:t>
      </w:r>
      <w:r>
        <w:rPr>
          <w:rFonts w:ascii="Arial" w:hAnsi="Arial"/>
          <w:b w:val="0"/>
          <w:i w:val="0"/>
          <w:sz w:val="28"/>
        </w:rPr>
        <w:t xml:space="preserve">; su cónyuge falleció el </w:t>
      </w:r>
      <w:r>
        <w:rPr>
          <w:rFonts w:ascii="Arial" w:hAnsi="Arial"/>
          <w:b/>
          <w:i w:val="0"/>
          <w:sz w:val="28"/>
        </w:rPr>
        <w:t>[FECHA DE FALLECIMIENTO]</w:t>
      </w:r>
      <w:r>
        <w:rPr>
          <w:rFonts w:ascii="Arial" w:hAnsi="Arial"/>
          <w:b w:val="0"/>
          <w:i w:val="0"/>
          <w:sz w:val="28"/>
        </w:rPr>
        <w:t xml:space="preserve">, según el acta de defunción que se exhibe; y la Hoja Única de Servicios registra un periodo de </w:t>
      </w:r>
      <w:r>
        <w:rPr>
          <w:rFonts w:ascii="Arial" w:hAnsi="Arial"/>
          <w:b/>
          <w:i w:val="0"/>
          <w:sz w:val="28"/>
        </w:rPr>
        <w:t>[PERIODO DE SERVICIOS SEGÚN LA HOJA ÚNICA DE SERVICIOS]</w:t>
      </w:r>
      <w:r>
        <w:rPr>
          <w:rFonts w:ascii="Arial" w:hAnsi="Arial"/>
          <w:b w:val="0"/>
          <w:i w:val="0"/>
          <w:sz w:val="28"/>
        </w:rPr>
        <w:t>.</w:t>
      </w:r>
    </w:p>
    <w:p>
      <w:pPr>
        <w:spacing w:line="360" w:lineRule="auto"/>
        <w:jc w:val="both"/>
      </w:pPr>
      <w:r>
        <w:rPr>
          <w:rFonts w:ascii="Arial" w:hAnsi="Arial"/>
          <w:b w:val="0"/>
          <w:i w:val="0"/>
          <w:sz w:val="28"/>
        </w:rPr>
        <w:t>La negativa de la autoridad no cuestiona esos datos. Descansa por entero en la afirmación de que la persona trabajadora cobró la indemnización global, y la resolución impugnada se limita a enunciarla, sin precisar la resolución que la concedió, el importe, la fecha ni el medio por el que se habría entregado, y sin acompañar constancia alguna de que el importe se haya cobrado.</w:t>
      </w:r>
    </w:p>
    <w:p>
      <w:pPr>
        <w:spacing w:line="360" w:lineRule="auto"/>
        <w:jc w:val="both"/>
      </w:pPr>
      <w:r>
        <w:rPr>
          <w:rFonts w:ascii="Arial" w:hAnsi="Arial"/>
          <w:b w:val="0"/>
          <w:i w:val="0"/>
          <w:sz w:val="28"/>
        </w:rPr>
        <w:t>Formulada la negativa lisa y llana, la consecuencia jurídica es inmediata: corresponde a la autoridad probar el pago, en términos del artículo 42 de la ley de la materia. Si no lo hace con documento idóneo, el hecho que motivó la resolución no se realizó o se apreció en forma equivocada, supuesto exacto de la fracción IV del artículo 51 del mismo ordenamiento; y, como el motivo enunciado resulta meramente aparente, se actualiza también, en vía subsidiaria, la fracción II de ese precepto, pues una motivación que descansa en un hecho no probado equivale a su ausencia.</w:t>
      </w:r>
    </w:p>
    <w:p>
      <w:pPr>
        <w:spacing w:line="360" w:lineRule="auto"/>
        <w:jc w:val="both"/>
      </w:pPr>
      <w:r>
        <w:rPr>
          <w:rFonts w:ascii="Arial" w:hAnsi="Arial"/>
          <w:b w:val="0"/>
          <w:i w:val="0"/>
          <w:sz w:val="28"/>
        </w:rPr>
        <w:t xml:space="preserve">Es previsible que, al contestar la demanda, la autoridad exhiba </w:t>
      </w:r>
      <w:r>
        <w:rPr>
          <w:rFonts w:ascii="Arial" w:hAnsi="Arial"/>
          <w:b/>
          <w:i w:val="0"/>
          <w:sz w:val="28"/>
        </w:rPr>
        <w:t>[PRUEBA QUE EXHIBA LA AUTORIDAD PARA SOSTENER EL PAGO]</w:t>
      </w:r>
      <w:r>
        <w:rPr>
          <w:rFonts w:ascii="Arial" w:hAnsi="Arial"/>
          <w:b w:val="0"/>
          <w:i w:val="0"/>
          <w:sz w:val="28"/>
        </w:rPr>
        <w:t>, por ejemplo una impresión o captura de pantalla de su sistema de consulta de indemnizaciones globales. Esa probanza no alcanza para tener por demostrado el pago: es un registro unilateral, generado y resguardado por la propia oferente, que no documenta el acto de entrega ni el cobro, y que frente a la negativa expresa de la parte actora no puede pasar de indicio.</w:t>
      </w:r>
    </w:p>
    <w:p>
      <w:pPr>
        <w:spacing w:line="360" w:lineRule="auto"/>
        <w:jc w:val="both"/>
      </w:pPr>
      <w:r>
        <w:rPr>
          <w:rFonts w:ascii="Arial" w:hAnsi="Arial"/>
          <w:b w:val="0"/>
          <w:i w:val="0"/>
          <w:sz w:val="28"/>
        </w:rPr>
        <w:t xml:space="preserve">El razonamiento de la autoridad incurre, además, en dos falacias que lo invalidan. La primera es una petición de principio. Afirmar que el derecho a reclamar </w:t>
      </w:r>
      <w:r>
        <w:rPr>
          <w:rFonts w:ascii="Arial" w:hAnsi="Arial"/>
          <w:b w:val="0"/>
          <w:i/>
          <w:sz w:val="28"/>
        </w:rPr>
        <w:t>“feneció”</w:t>
      </w:r>
      <w:r>
        <w:rPr>
          <w:rFonts w:ascii="Arial" w:hAnsi="Arial"/>
          <w:b w:val="0"/>
          <w:i w:val="0"/>
          <w:sz w:val="28"/>
        </w:rPr>
        <w:t xml:space="preserve"> porque la persona trabajadora no se inconformó al obtener el beneficio supone, como premisa, que ese beneficio se obtuvo; y eso es justamente lo que está en disputa.</w:t>
      </w:r>
    </w:p>
    <w:p>
      <w:pPr>
        <w:spacing w:line="360" w:lineRule="auto"/>
        <w:jc w:val="both"/>
      </w:pPr>
      <w:r>
        <w:rPr>
          <w:rFonts w:ascii="Arial" w:hAnsi="Arial"/>
          <w:b w:val="0"/>
          <w:i w:val="0"/>
          <w:sz w:val="28"/>
        </w:rPr>
        <w:t>La doctrina de la argumentación describe esta falacia como el intento de demostrar algo por sí mismo, sin demostrarlo, y precisa que se incurre en ella cuando se utiliza como premisa lo mismo que afirma la conclusión o algo cuya verdad no está probada.</w:t>
      </w:r>
      <w:r>
        <w:rPr>
          <w:rFonts w:ascii="Arial" w:hAnsi="Arial"/>
          <w:vertAlign w:val="superscript"/>
        </w:rPr>
        <w:t>5</w:t>
      </w:r>
      <w:r>
        <w:rPr>
          <w:rFonts w:ascii="Arial" w:hAnsi="Arial"/>
          <w:b w:val="0"/>
          <w:i w:val="0"/>
          <w:sz w:val="28"/>
        </w:rPr>
        <w:t xml:space="preserve"> La autoridad no podía computar plazo alguno para inconformarse con un pago cuya existencia no ha acreditado: la caducidad del reclamo depende del pago, y el pago es el hecho controvertido.</w:t>
      </w:r>
    </w:p>
    <w:p>
      <w:pPr>
        <w:spacing w:line="360" w:lineRule="auto"/>
        <w:jc w:val="both"/>
      </w:pPr>
      <w:r>
        <w:rPr>
          <w:rFonts w:ascii="Arial" w:hAnsi="Arial"/>
          <w:b w:val="0"/>
          <w:i w:val="0"/>
          <w:sz w:val="28"/>
        </w:rPr>
        <w:t>La segunda es un argumento ad ignorantiam. Si la autoridad sostiene que la parte actora no demostró que su cónyuge dejó de cobrar la indemnización, o que la falta de una inconformidad oportuna revela que la recibió, invierte la carga probatoria que la ley le asigna. El rasgo característico de esta falacia consiste precisamente en trasladar la carga de la prueba al interlocutor, exigiéndole que demuestre la falsedad de lo que el otro afirma sin probarlo.</w:t>
      </w:r>
      <w:r>
        <w:rPr>
          <w:rFonts w:ascii="Arial" w:hAnsi="Arial"/>
          <w:vertAlign w:val="superscript"/>
        </w:rPr>
        <w:t>6</w:t>
      </w:r>
    </w:p>
    <w:p>
      <w:pPr>
        <w:spacing w:line="360" w:lineRule="auto"/>
        <w:jc w:val="both"/>
      </w:pPr>
      <w:r>
        <w:rPr>
          <w:rFonts w:ascii="Arial" w:hAnsi="Arial"/>
          <w:b w:val="0"/>
          <w:i w:val="0"/>
          <w:sz w:val="28"/>
        </w:rPr>
        <w:t>Exigir a la persona viuda que demuestre que su cónyuge nunca cobró equivale a pedirle la prueba de un hecho que no ocurrió, carga que el artículo 42 de la ley procesal descarta de manera expresa. La ausencia de una inconformidad tampoco prueba nada: nadie se inconforma con un pago que no recibió, y el silencio de la persona trabajadora es perfectamente compatible con la inexistencia del pago.</w:t>
      </w:r>
    </w:p>
    <w:p>
      <w:pPr>
        <w:spacing w:line="360" w:lineRule="auto"/>
        <w:jc w:val="both"/>
      </w:pPr>
      <w:r>
        <w:rPr>
          <w:rFonts w:ascii="Arial" w:hAnsi="Arial"/>
          <w:b w:val="0"/>
          <w:i w:val="0"/>
          <w:sz w:val="28"/>
        </w:rPr>
        <w:t>Por último, la conclusión de que resulta improcedente cualquier beneficio en favor de la parte actora deriva por completo de la premisa no demostrada. Al caer ésta, cae también aquella, al menos en lo relativo a la indemnización global, que la autoridad dejó de examinar porque la tuvo por pagada sin prueba.</w:t>
      </w:r>
    </w:p>
    <w:p>
      <w:pPr>
        <w:spacing w:line="360" w:lineRule="auto"/>
        <w:jc w:val="both"/>
      </w:pPr>
      <w:r>
        <w:rPr>
          <w:rFonts w:ascii="Arial" w:hAnsi="Arial"/>
          <w:b w:val="0"/>
          <w:i w:val="0"/>
          <w:sz w:val="28"/>
        </w:rPr>
        <w:t>La consecuencia sistémica de aceptar la postura de la autoridad revela el error. Si bastara un asiento en el sistema del propio Instituto para tener por extinguido el derecho de las personas beneficiarias, la presunción de legalidad se volvería irrefutable, la negativa lisa y llana perdería todo efecto y la autoridad podría tener por cumplidas sus obligaciones con la sola anotación que ella misma genera.</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resolución impugnada niega a la parte actora toda prestación derivada del fallecimiento de su cónyuge con base en un hecho, el cobro de la indemnización global, que fue negado lisa y llanamente y que la autoridad no acreditó con documento idóneo; su motivación es aparente, descansa en una petición de principio y pretende trasladar a la persona viuda una carga probatoria que la ley impone al Instituto.</w:t>
      </w:r>
    </w:p>
    <w:p>
      <w:pPr>
        <w:spacing w:line="360" w:lineRule="auto"/>
        <w:jc w:val="both"/>
      </w:pPr>
      <w:r>
        <w:rPr>
          <w:rFonts w:ascii="Arial" w:hAnsi="Arial"/>
          <w:b w:val="0"/>
          <w:i w:val="0"/>
          <w:sz w:val="28"/>
        </w:rPr>
        <w:t>Por lo expuesto, procede declarar fundado el presente concepto de impugnación y, con apoyo en los artículos 51, fracción IV, y 52, fracción V, inciso a), de la Ley Federal de Procedimiento Contencioso Administrativo, declarar la nulidad de la resolución impugnada, reconocer a la parte actora el derecho a percibir la indemnización global y condenar a la autoridad a su pago, pues los elementos para constatar ese derecho, exigidos por el artículo 50 de dicha ley, obran en autos.</w:t>
      </w:r>
    </w:p>
    <w:p>
      <w:pPr>
        <w:spacing w:line="360" w:lineRule="auto"/>
        <w:jc w:val="both"/>
      </w:pPr>
      <w:r>
        <w:rPr>
          <w:rFonts w:ascii="Arial" w:hAnsi="Arial"/>
          <w:b w:val="0"/>
          <w:i w:val="0"/>
          <w:sz w:val="28"/>
        </w:rPr>
        <w:t>En forma subsidiaria, para el caso de que esa Sala estime que la autoridad debe pronunciarse previamente sobre el pago o sobre su cuantía, se solicita declarar la nulidad con fundamento en los artículos 51, fracción II, y 52, fracción IV, del mismo ordenamiento, para el efecto de que la demandada emita otra resolución, debidamente fundada y motivada, en la que acredite con documento fehaciente que entregó la indemnización global a la persona trabajadora y, de no haberlo hecho, pague a la parte actora la cantidad que en derecho le corresponda.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SÁNCHEZ GIL, op. cit.</w:t>
      </w:r>
      <w:r>
        <w:rPr>
          <w:rFonts w:ascii="Arial" w:hAnsi="Arial"/>
          <w:i w:val="0"/>
          <w:sz w:val="20"/>
        </w:rPr>
        <w:t>, p. 89.</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 p. 228.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120.</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89.</w:t>
      </w:r>
    </w:p>
    <w:p/>
    <w:p>
      <w:r>
        <w:rPr>
          <w:rFonts w:ascii="Arial" w:hAnsi="Arial"/>
          <w:b/>
          <w:sz w:val="22"/>
        </w:rPr>
        <w:t>BIBLIOGRAFÍA</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