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ACREDITAMIENTO DEL IVA: GASTOS ESTRICTAMENTE INDISPENSABLES Y CFDI SIN CUENTA PREDIAL</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y léelo completo antes de adaptarlo. Trae dos conceptos de impugnación independientes: el primero combate el rechazo de gastos por falta de estricta indispensabilidad y el segundo, el rechazo del IVA de rentas porque el CFDI no trae la cuenta predial. Conserva sólo el que corresponda a tu caso, o ambos, y renuméralos según el orden de tu demanda.</w:t>
      </w:r>
    </w:p>
    <w:p>
      <w:pPr>
        <w:spacing w:line="360" w:lineRule="auto"/>
        <w:jc w:val="both"/>
      </w:pPr>
      <w:r>
        <w:rPr>
          <w:rFonts w:ascii="Arial" w:hAnsi="Arial"/>
          <w:b w:val="0"/>
          <w:i w:val="0"/>
          <w:sz w:val="24"/>
        </w:rPr>
        <w:t xml:space="preserve">Antes de llenar los campos, coteja contra tu resolución la transcripción de la motivación de la autoridad: el machote reproduce la fórmula que usó la autoridad en el caso que lo inspira, que exige que el gasto esté </w:t>
      </w:r>
      <w:r>
        <w:rPr>
          <w:rFonts w:ascii="Arial" w:hAnsi="Arial"/>
          <w:b w:val="0"/>
          <w:i/>
          <w:sz w:val="24"/>
        </w:rPr>
        <w:t>“relacionado directamente y exclusivamente con la actividad gravada”</w:t>
      </w:r>
      <w:r>
        <w:rPr>
          <w:rFonts w:ascii="Arial" w:hAnsi="Arial"/>
          <w:b w:val="0"/>
          <w:i w:val="0"/>
          <w:sz w:val="24"/>
        </w:rPr>
        <w:t>; si tu oficio la redacta de otro modo, sustitúyela por la cita literal.</w:t>
      </w:r>
    </w:p>
    <w:p>
      <w:pPr>
        <w:spacing w:line="360" w:lineRule="auto"/>
        <w:jc w:val="both"/>
      </w:pPr>
      <w:r>
        <w:rPr>
          <w:rFonts w:ascii="Arial" w:hAnsi="Arial"/>
          <w:b w:val="0"/>
          <w:i w:val="0"/>
          <w:sz w:val="24"/>
        </w:rPr>
        <w:t>Revisa también el texto de la Ley del Impuesto al Valor Agregado, de la Ley del Impuesto sobre la Renta y del Código Fiscal de la Federación vigente en el periodo del saldo a favor: la sentencia que inspira el machote transcribe los preceptos en su versión de 2022, y la Ley Federal de Procedimiento Contencioso Administrativo se reformó el 9 de junio de 2026.</w:t>
      </w:r>
    </w:p>
    <w:p>
      <w:pPr>
        <w:spacing w:line="360" w:lineRule="auto"/>
        <w:jc w:val="both"/>
      </w:pPr>
      <w:r>
        <w:rPr>
          <w:rFonts w:ascii="Arial" w:hAnsi="Arial"/>
          <w:b w:val="0"/>
          <w:i w:val="0"/>
          <w:sz w:val="24"/>
        </w:rPr>
        <w:t>Define la vía antes que el plazo: desde esa reforma, el artículo 58-2, fracción VI, de la Ley Federal de Procedimiento Contencioso Administrativo incluye en la vía sumaria las respuestas a solicitudes de devolución, sujetas al límite de cuantía del primer párrafo del propio artículo. En cualquier caso la demanda se presenta dentro de los treinta días siguientes a que surta efectos la notificación: en la vía ordinaria por el artículo 13, fracción I, y en la sumaria por el artículo 58-2, párrafo tercero.</w:t>
      </w:r>
    </w:p>
    <w:p>
      <w:pPr>
        <w:spacing w:line="360" w:lineRule="auto"/>
        <w:jc w:val="both"/>
      </w:pPr>
      <w:r>
        <w:rPr>
          <w:rFonts w:ascii="Arial" w:hAnsi="Arial"/>
          <w:b w:val="0"/>
          <w:i w:val="0"/>
          <w:sz w:val="24"/>
        </w:rPr>
        <w:t>Ofrece la prueba pericial en materia contable y las documentales que demuestren el nexo de cada gasto con tu actividad. En el caso que inspira el machote, la Sala dijo carecer de elementos técnicos contables y remitió la cuantificación a la autoridad; además, rechazó los gastos de hotel y eventos de integración porque sólo se probaron con un correo impreso, una carta invitación sin firma y un programa.</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[NOMBRE O DENOMINACIÓN DE LA PARTE ACTORA]</w:t>
      </w:r>
      <w:r>
        <w:rPr>
          <w:rFonts w:ascii="Arial" w:hAnsi="Arial"/>
          <w:b w:val="0"/>
          <w:i w:val="0"/>
          <w:sz w:val="24"/>
        </w:rPr>
        <w:t>: la razón social o el nombre de quien solicitó la devolución.</w:t>
      </w:r>
    </w:p>
    <w:p>
      <w:pPr>
        <w:spacing w:line="360" w:lineRule="auto"/>
        <w:jc w:val="both"/>
      </w:pPr>
      <w:r>
        <w:rPr>
          <w:rFonts w:ascii="Arial" w:hAnsi="Arial"/>
          <w:b/>
          <w:i w:val="0"/>
          <w:sz w:val="24"/>
        </w:rPr>
        <w:t>[AUTORIDAD DEMANDADA]</w:t>
      </w:r>
      <w:r>
        <w:rPr>
          <w:rFonts w:ascii="Arial" w:hAnsi="Arial"/>
          <w:b w:val="0"/>
          <w:i w:val="0"/>
          <w:sz w:val="24"/>
        </w:rPr>
        <w:t>: la unidad administrativa que emitió la resolución impugnada, con su denominación completa.</w:t>
      </w:r>
    </w:p>
    <w:p>
      <w:pPr>
        <w:spacing w:line="360" w:lineRule="auto"/>
        <w:jc w:val="both"/>
      </w:pPr>
      <w:r>
        <w:rPr>
          <w:rFonts w:ascii="Arial" w:hAnsi="Arial"/>
          <w:b/>
          <w:i w:val="0"/>
          <w:sz w:val="24"/>
        </w:rPr>
        <w:t>[NÚMERO DE OFICIO DE LA RESOLUCIÓN IMPUGNADA]</w:t>
      </w:r>
      <w:r>
        <w:rPr>
          <w:rFonts w:ascii="Arial" w:hAnsi="Arial"/>
          <w:b w:val="0"/>
          <w:i w:val="0"/>
          <w:sz w:val="24"/>
        </w:rPr>
        <w:t>: el número exacto del oficio que impugnas.</w:t>
      </w:r>
    </w:p>
    <w:p>
      <w:pPr>
        <w:spacing w:line="360" w:lineRule="auto"/>
        <w:jc w:val="both"/>
      </w:pPr>
      <w:r>
        <w:rPr>
          <w:rFonts w:ascii="Arial" w:hAnsi="Arial"/>
          <w:b/>
          <w:i w:val="0"/>
          <w:sz w:val="24"/>
        </w:rPr>
        <w:t>[FECHA DE LA RESOLUCIÓN IMPUGNADA]</w:t>
      </w:r>
      <w:r>
        <w:rPr>
          <w:rFonts w:ascii="Arial" w:hAnsi="Arial"/>
          <w:b w:val="0"/>
          <w:i w:val="0"/>
          <w:sz w:val="24"/>
        </w:rPr>
        <w:t>: la fecha que aparece en ese oficio.</w:t>
      </w:r>
    </w:p>
    <w:p>
      <w:pPr>
        <w:spacing w:line="360" w:lineRule="auto"/>
        <w:jc w:val="both"/>
      </w:pPr>
      <w:r>
        <w:rPr>
          <w:rFonts w:ascii="Arial" w:hAnsi="Arial"/>
          <w:b/>
          <w:i w:val="0"/>
          <w:sz w:val="24"/>
        </w:rPr>
        <w:t>[NÚMERO Y FECHA DE LA RESOLUCIÓN RECURRIDA]</w:t>
      </w:r>
      <w:r>
        <w:rPr>
          <w:rFonts w:ascii="Arial" w:hAnsi="Arial"/>
          <w:b w:val="0"/>
          <w:i w:val="0"/>
          <w:sz w:val="24"/>
        </w:rPr>
        <w:t>: si impugnas la resolución del recurso de revocación, los datos del oficio que negó la devolución; si no hubo recurso, elimina ese párrafo.</w:t>
      </w:r>
    </w:p>
    <w:p>
      <w:pPr>
        <w:spacing w:line="360" w:lineRule="auto"/>
        <w:jc w:val="both"/>
      </w:pPr>
      <w:r>
        <w:rPr>
          <w:rFonts w:ascii="Arial" w:hAnsi="Arial"/>
          <w:b/>
          <w:i w:val="0"/>
          <w:sz w:val="24"/>
        </w:rPr>
        <w:t>[PERIODO DEL SALDO A FAVOR]</w:t>
      </w:r>
      <w:r>
        <w:rPr>
          <w:rFonts w:ascii="Arial" w:hAnsi="Arial"/>
          <w:b w:val="0"/>
          <w:i w:val="0"/>
          <w:sz w:val="24"/>
        </w:rPr>
        <w:t>: el mes y el ejercicio del saldo a favor; sirve también para precisar la versión de la ley aplicable.</w:t>
      </w:r>
    </w:p>
    <w:p>
      <w:pPr>
        <w:spacing w:line="360" w:lineRule="auto"/>
        <w:jc w:val="both"/>
      </w:pPr>
      <w:r>
        <w:rPr>
          <w:rFonts w:ascii="Arial" w:hAnsi="Arial"/>
          <w:b/>
          <w:i w:val="0"/>
          <w:sz w:val="24"/>
        </w:rPr>
        <w:t>[MONTO NEGADO EN DEVOLUCIÓN]</w:t>
      </w:r>
      <w:r>
        <w:rPr>
          <w:rFonts w:ascii="Arial" w:hAnsi="Arial"/>
          <w:b w:val="0"/>
          <w:i w:val="0"/>
          <w:sz w:val="24"/>
        </w:rPr>
        <w:t>: la cantidad que la autoridad no autorizó, con número y letra.</w:t>
      </w:r>
    </w:p>
    <w:p>
      <w:pPr>
        <w:spacing w:line="360" w:lineRule="auto"/>
        <w:jc w:val="both"/>
      </w:pPr>
      <w:r>
        <w:rPr>
          <w:rFonts w:ascii="Arial" w:hAnsi="Arial"/>
          <w:b/>
          <w:i w:val="0"/>
          <w:sz w:val="24"/>
        </w:rPr>
        <w:t>[CONCEPTOS DE GASTO RECHAZADOS]</w:t>
      </w:r>
      <w:r>
        <w:rPr>
          <w:rFonts w:ascii="Arial" w:hAnsi="Arial"/>
          <w:b w:val="0"/>
          <w:i w:val="0"/>
          <w:sz w:val="24"/>
        </w:rPr>
        <w:t>: los conceptos exactos que la resolución calificó como no indispensables, tal como aparecen en ella.</w:t>
      </w:r>
    </w:p>
    <w:p>
      <w:pPr>
        <w:spacing w:line="360" w:lineRule="auto"/>
        <w:jc w:val="both"/>
      </w:pPr>
      <w:r>
        <w:rPr>
          <w:rFonts w:ascii="Arial" w:hAnsi="Arial"/>
          <w:b/>
          <w:i w:val="0"/>
          <w:sz w:val="24"/>
        </w:rPr>
        <w:t>[ACTIVIDAD U OBJETO SOCIAL DE LA PARTE ACTORA]</w:t>
      </w:r>
      <w:r>
        <w:rPr>
          <w:rFonts w:ascii="Arial" w:hAnsi="Arial"/>
          <w:b w:val="0"/>
          <w:i w:val="0"/>
          <w:sz w:val="24"/>
        </w:rPr>
        <w:t>: la actividad inscrita en el RFC y el objeto social del acta constitutiva.</w:t>
      </w:r>
    </w:p>
    <w:p>
      <w:pPr>
        <w:spacing w:line="360" w:lineRule="auto"/>
        <w:jc w:val="both"/>
      </w:pPr>
      <w:r>
        <w:rPr>
          <w:rFonts w:ascii="Arial" w:hAnsi="Arial"/>
          <w:b/>
          <w:i w:val="0"/>
          <w:sz w:val="24"/>
        </w:rPr>
        <w:t>[PRUEBAS QUE ACREDITAN EL VÍNCULO DE CADA GASTO]</w:t>
      </w:r>
      <w:r>
        <w:rPr>
          <w:rFonts w:ascii="Arial" w:hAnsi="Arial"/>
          <w:b w:val="0"/>
          <w:i w:val="0"/>
          <w:sz w:val="24"/>
        </w:rPr>
        <w:t>: los documentos que enlazan cada gasto con la actividad: facturas de venta, contratos, cotizaciones, políticas internas, catálogo de clientes, listas de asistencia o constancias de capacitación.</w:t>
      </w:r>
    </w:p>
    <w:p>
      <w:pPr>
        <w:spacing w:line="360" w:lineRule="auto"/>
        <w:jc w:val="both"/>
      </w:pPr>
      <w:r>
        <w:rPr>
          <w:rFonts w:ascii="Arial" w:hAnsi="Arial"/>
          <w:b/>
          <w:i w:val="0"/>
          <w:sz w:val="24"/>
        </w:rPr>
        <w:t>[MONTO DEL IMPUESTO TRASLADADO EN ARRENDAMIENTO]</w:t>
      </w:r>
      <w:r>
        <w:rPr>
          <w:rFonts w:ascii="Arial" w:hAnsi="Arial"/>
          <w:b w:val="0"/>
          <w:i w:val="0"/>
          <w:sz w:val="24"/>
        </w:rPr>
        <w:t>: el IVA de las rentas cuyo acreditamiento se negó.</w:t>
      </w:r>
    </w:p>
    <w:p>
      <w:pPr>
        <w:spacing w:line="360" w:lineRule="auto"/>
        <w:jc w:val="both"/>
      </w:pPr>
      <w:r>
        <w:rPr>
          <w:rFonts w:ascii="Arial" w:hAnsi="Arial"/>
          <w:b/>
          <w:i w:val="0"/>
          <w:sz w:val="24"/>
        </w:rPr>
        <w:t>[DESCRIPCIÓN DEL INMUEBLE ARRENDADO]</w:t>
      </w:r>
      <w:r>
        <w:rPr>
          <w:rFonts w:ascii="Arial" w:hAnsi="Arial"/>
          <w:b w:val="0"/>
          <w:i w:val="0"/>
          <w:sz w:val="24"/>
        </w:rPr>
        <w:t>: la descripción del bien tal como aparece en los CFDI de renta.</w:t>
      </w:r>
    </w:p>
    <w:p>
      <w:pPr>
        <w:spacing w:line="360" w:lineRule="auto"/>
        <w:jc w:val="both"/>
      </w:pPr>
      <w:r>
        <w:rPr>
          <w:rFonts w:ascii="Arial" w:hAnsi="Arial"/>
          <w:b/>
          <w:i w:val="0"/>
          <w:sz w:val="24"/>
        </w:rPr>
        <w:t>[FOLIOS FISCALES DE LOS COMPROBANTES DE ARRENDAMIENTO]</w:t>
      </w:r>
      <w:r>
        <w:rPr>
          <w:rFonts w:ascii="Arial" w:hAnsi="Arial"/>
          <w:b w:val="0"/>
          <w:i w:val="0"/>
          <w:sz w:val="24"/>
        </w:rPr>
        <w:t>: los folios de los CFDI observados.</w:t>
      </w:r>
    </w:p>
    <w:p>
      <w:pPr>
        <w:spacing w:line="360" w:lineRule="auto"/>
        <w:jc w:val="both"/>
      </w:pPr>
      <w:r>
        <w:rPr>
          <w:rFonts w:ascii="Arial" w:hAnsi="Arial"/>
          <w:b/>
          <w:i w:val="0"/>
          <w:sz w:val="24"/>
        </w:rPr>
        <w:t>[DOCUMENTOS QUE IDENTIFICAN EL INMUEBLE]</w:t>
      </w:r>
      <w:r>
        <w:rPr>
          <w:rFonts w:ascii="Arial" w:hAnsi="Arial"/>
          <w:b w:val="0"/>
          <w:i w:val="0"/>
          <w:sz w:val="24"/>
        </w:rPr>
        <w:t>: contrato de arrendamiento, escrituras, contrato de fideicomiso, recibo del predial u otros que ubiquen el bien.</w:t>
      </w:r>
    </w:p>
    <w:p>
      <w:pPr>
        <w:spacing w:line="360" w:lineRule="auto"/>
        <w:jc w:val="both"/>
      </w:pPr>
      <w:r>
        <w:rPr>
          <w:rFonts w:ascii="Arial" w:hAnsi="Arial"/>
          <w:b/>
          <w:i w:val="0"/>
          <w:sz w:val="24"/>
        </w:rPr>
        <w:t>[MOTIVO POR EL QUE EL CFDI OMITIÓ LA CUENTA PREDIAL]</w:t>
      </w:r>
      <w:r>
        <w:rPr>
          <w:rFonts w:ascii="Arial" w:hAnsi="Arial"/>
          <w:b w:val="0"/>
          <w:i w:val="0"/>
          <w:sz w:val="24"/>
        </w:rPr>
        <w:t>: la razón documentada de la omisión, por ejemplo que el inmueble está aportado a un fideicomiso y la cuenta figura a nombre de la fiduciaria.</w:t>
      </w:r>
    </w:p>
    <w:p/>
    <w:p>
      <w:pPr>
        <w:spacing w:line="360" w:lineRule="auto"/>
        <w:jc w:val="both"/>
      </w:pPr>
      <w:r>
        <w:rPr>
          <w:rFonts w:ascii="Arial" w:hAnsi="Arial"/>
          <w:b/>
          <w:sz w:val="28"/>
        </w:rPr>
        <w:t>PRIMER CONCEPTO DE IMPUGNACIÓN. Indebido rechazo del acreditamiento del impuesto al valor agregado por una noción restringida de estricta indispensabilidad. La autoridad exigió que cada erogación se vinculara de forma directa y exclusiva con la actividad gravada, condición que no prevén los artículos 5o., fracción I, de la Ley del Impuesto al Valor Agregado y 27, fracción I, de la Ley del Impuesto sobre la Renta, por lo que se actualiza la causal de nulidad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de </w:t>
      </w:r>
      <w:r>
        <w:rPr>
          <w:rFonts w:ascii="Arial" w:hAnsi="Arial"/>
          <w:b/>
          <w:i w:val="0"/>
          <w:sz w:val="28"/>
        </w:rPr>
        <w:t>[FECHA DE LA RESOLUCIÓN IMPUGNADA]</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es ilegal en la parte en que negó a </w:t>
      </w:r>
      <w:r>
        <w:rPr>
          <w:rFonts w:ascii="Arial" w:hAnsi="Arial"/>
          <w:b/>
          <w:i w:val="0"/>
          <w:sz w:val="28"/>
        </w:rPr>
        <w:t>[NOMBRE O DENOMINACIÓN DE LA PARTE ACTORA]</w:t>
      </w:r>
      <w:r>
        <w:rPr>
          <w:rFonts w:ascii="Arial" w:hAnsi="Arial"/>
          <w:b w:val="0"/>
          <w:i w:val="0"/>
          <w:sz w:val="28"/>
        </w:rPr>
        <w:t xml:space="preserve"> la devolución del saldo a favor del impuesto al valor agregado correspondiente a </w:t>
      </w:r>
      <w:r>
        <w:rPr>
          <w:rFonts w:ascii="Arial" w:hAnsi="Arial"/>
          <w:b/>
          <w:i w:val="0"/>
          <w:sz w:val="28"/>
        </w:rPr>
        <w:t>[PERIODO DEL SALDO A FAVOR]</w:t>
      </w:r>
      <w:r>
        <w:rPr>
          <w:rFonts w:ascii="Arial" w:hAnsi="Arial"/>
          <w:b w:val="0"/>
          <w:i w:val="0"/>
          <w:sz w:val="28"/>
        </w:rPr>
        <w:t xml:space="preserve">, por la cantidad de </w:t>
      </w:r>
      <w:r>
        <w:rPr>
          <w:rFonts w:ascii="Arial" w:hAnsi="Arial"/>
          <w:b/>
          <w:i w:val="0"/>
          <w:sz w:val="28"/>
        </w:rPr>
        <w:t>[MONTO NEGADO EN DEVOLUCIÓN]</w:t>
      </w:r>
      <w:r>
        <w:rPr>
          <w:rFonts w:ascii="Arial" w:hAnsi="Arial"/>
          <w:b w:val="0"/>
          <w:i w:val="0"/>
          <w:sz w:val="28"/>
        </w:rPr>
        <w:t>, con el argumento de que diversas erogaciones no eran estrictamente indispensables.</w:t>
      </w:r>
    </w:p>
    <w:p>
      <w:pPr>
        <w:spacing w:line="360" w:lineRule="auto"/>
        <w:jc w:val="both"/>
      </w:pPr>
      <w:r>
        <w:rPr>
          <w:rFonts w:ascii="Arial" w:hAnsi="Arial"/>
          <w:b w:val="0"/>
          <w:i w:val="0"/>
          <w:sz w:val="28"/>
        </w:rPr>
        <w:t>La demostración descansa en una premisa normativa precisa: el ordenamiento del tributo al consumo remite, para calificar la indispensabilidad, al régimen de deducciones del impuesto sobre la renta, y éste la mide por los fines de la actividad de la persona contribuyente, lo que abarca las erogaciones que contribuyen de modo indirecto a generar ingresos, como el reclutamiento, la capacitación, la salud psicosocial del personal o las comisiones de venta.</w:t>
      </w:r>
    </w:p>
    <w:p>
      <w:pPr>
        <w:spacing w:line="360" w:lineRule="auto"/>
        <w:jc w:val="both"/>
      </w:pPr>
      <w:r>
        <w:rPr>
          <w:rFonts w:ascii="Arial" w:hAnsi="Arial"/>
          <w:b w:val="0"/>
          <w:i w:val="0"/>
          <w:sz w:val="28"/>
        </w:rPr>
        <w:t>Cuando la autoridad reduce esa noción a los gastos ligados de manera directa y exclusiva al proceso productivo, agrega un requisito que la norma no contiene y aplica indebidamente las disposiciones del caso, con lo que se configura la causal del artículo 51, fracción IV, de la Ley Federal de Procedimiento Contencioso Administrativo; de ahí que proceda declarar la nulidad y reconocer el derecho de la parte actora al acreditamiento negado.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resolución precisada, por la que la autoridad resolvió la solicitud de devolución del saldo a favor de </w:t>
      </w:r>
      <w:r>
        <w:rPr>
          <w:rFonts w:ascii="Arial" w:hAnsi="Arial"/>
          <w:b/>
          <w:i w:val="0"/>
          <w:sz w:val="28"/>
        </w:rPr>
        <w:t>[PERIODO DEL SALDO A FAVOR]</w:t>
      </w:r>
      <w:r>
        <w:rPr>
          <w:rFonts w:ascii="Arial" w:hAnsi="Arial"/>
          <w:b w:val="0"/>
          <w:i w:val="0"/>
          <w:sz w:val="28"/>
        </w:rPr>
        <w:t xml:space="preserve"> y rechazó el acreditamiento del impuesto trasladado por los conceptos de </w:t>
      </w:r>
      <w:r>
        <w:rPr>
          <w:rFonts w:ascii="Arial" w:hAnsi="Arial"/>
          <w:b/>
          <w:i w:val="0"/>
          <w:sz w:val="28"/>
        </w:rPr>
        <w:t>[CONCEPTOS DE GASTO RECHAZADOS]</w:t>
      </w:r>
      <w:r>
        <w:rPr>
          <w:rFonts w:ascii="Arial" w:hAnsi="Arial"/>
          <w:b w:val="0"/>
          <w:i w:val="0"/>
          <w:sz w:val="28"/>
        </w:rPr>
        <w:t>, con el argumento de que no guardaban relación directa con la actividad registrada de la contribuyente.</w:t>
      </w:r>
    </w:p>
    <w:p>
      <w:pPr>
        <w:spacing w:line="360" w:lineRule="auto"/>
        <w:jc w:val="both"/>
      </w:pPr>
      <w:r>
        <w:rPr>
          <w:rFonts w:ascii="Arial" w:hAnsi="Arial"/>
          <w:b w:val="0"/>
          <w:i w:val="0"/>
          <w:sz w:val="28"/>
        </w:rPr>
        <w:t xml:space="preserve">Si lo impugnado es la resolución recaída al recurso de revocación, el artículo 1o., segundo párrafo, de la Ley Federal de Procedimiento Contencioso Administrativo dispone que se entiende controvertida, al mismo tiempo, la resolución recurrida en la parte que continúa afectando a la persona recurrente, con la posibilidad de formular conceptos no planteados en el recurso; por ello, este concepto se dirige también contra la determinación identificada como </w:t>
      </w:r>
      <w:r>
        <w:rPr>
          <w:rFonts w:ascii="Arial" w:hAnsi="Arial"/>
          <w:b/>
          <w:i w:val="0"/>
          <w:sz w:val="28"/>
        </w:rPr>
        <w:t>[NÚMERO Y FECHA DE LA RESOLUCIÓN RECURRIDA]</w:t>
      </w:r>
      <w:r>
        <w:rPr>
          <w:rFonts w:ascii="Arial" w:hAnsi="Arial"/>
          <w:b w:val="0"/>
          <w:i w:val="0"/>
          <w:sz w:val="28"/>
        </w:rPr>
        <w:t>.</w:t>
      </w:r>
    </w:p>
    <w:p>
      <w:pPr>
        <w:spacing w:line="360" w:lineRule="auto"/>
        <w:jc w:val="both"/>
      </w:pPr>
      <w:r>
        <w:rPr>
          <w:rFonts w:ascii="Arial" w:hAnsi="Arial"/>
          <w:b w:val="0"/>
          <w:i w:val="0"/>
          <w:sz w:val="28"/>
        </w:rPr>
        <w:t xml:space="preserve">Las normas inobservadas son el artículo 5o., fracción I, de la Ley del Impuesto al Valor Agregado, en su texto vigente en </w:t>
      </w:r>
      <w:r>
        <w:rPr>
          <w:rFonts w:ascii="Arial" w:hAnsi="Arial"/>
          <w:b/>
          <w:i w:val="0"/>
          <w:sz w:val="28"/>
        </w:rPr>
        <w:t>[PERIODO DEL SALDO A FAVOR]</w:t>
      </w:r>
      <w:r>
        <w:rPr>
          <w:rFonts w:ascii="Arial" w:hAnsi="Arial"/>
          <w:b w:val="0"/>
          <w:i w:val="0"/>
          <w:sz w:val="28"/>
        </w:rPr>
        <w:t xml:space="preserve">, que condiciona el acreditamiento a que el gravamen corresponda a bienes, servicios o al uso o goce temporal de bienes </w:t>
      </w:r>
      <w:r>
        <w:rPr>
          <w:rFonts w:ascii="Arial" w:hAnsi="Arial"/>
          <w:b w:val="0"/>
          <w:i/>
          <w:sz w:val="28"/>
        </w:rPr>
        <w:t>“estrictamente indispensables para la realización de actividades distintas de la importación, por las que se deba pagar el impuesto establecido en esta Ley o a las que se les aplique la tasa de 0%”</w:t>
      </w:r>
      <w:r>
        <w:rPr>
          <w:rFonts w:ascii="Arial" w:hAnsi="Arial"/>
          <w:b w:val="0"/>
          <w:i w:val="0"/>
          <w:sz w:val="28"/>
        </w:rPr>
        <w:t>, y el artículo 27, fracción I, de la ley del impuesto sobre la renta.</w:t>
      </w:r>
    </w:p>
    <w:p>
      <w:pPr>
        <w:spacing w:line="360" w:lineRule="auto"/>
        <w:jc w:val="both"/>
      </w:pPr>
      <w:r>
        <w:rPr>
          <w:rFonts w:ascii="Arial" w:hAnsi="Arial"/>
          <w:b w:val="0"/>
          <w:i w:val="0"/>
          <w:sz w:val="28"/>
        </w:rPr>
        <w:t xml:space="preserve">Este último precepto exige que las deducciones sean </w:t>
      </w:r>
      <w:r>
        <w:rPr>
          <w:rFonts w:ascii="Arial" w:hAnsi="Arial"/>
          <w:b w:val="0"/>
          <w:i/>
          <w:sz w:val="28"/>
        </w:rPr>
        <w:t>“estrictamente indispensables para los fines de la actividad del contribuyente”</w:t>
      </w:r>
      <w:r>
        <w:rPr>
          <w:rFonts w:ascii="Arial" w:hAnsi="Arial"/>
          <w:b w:val="0"/>
          <w:i w:val="0"/>
          <w:sz w:val="28"/>
        </w:rPr>
        <w:t>, fórmula a la que el primero remite expresamente y que, por tanto, fija la medida del requisito en disputa.</w:t>
      </w:r>
    </w:p>
    <w:p>
      <w:pPr>
        <w:spacing w:line="360" w:lineRule="auto"/>
        <w:jc w:val="both"/>
      </w:pPr>
      <w:r>
        <w:rPr>
          <w:rFonts w:ascii="Arial" w:hAnsi="Arial"/>
          <w:b w:val="0"/>
          <w:i w:val="0"/>
          <w:sz w:val="28"/>
        </w:rPr>
        <w:t xml:space="preserve">El perjuicio es concreto: al negarse el acreditamiento, el impuesto que la parte actora pagó a sus proveedores deja de restarse del que causó, el saldo a favor se reduce en </w:t>
      </w:r>
      <w:r>
        <w:rPr>
          <w:rFonts w:ascii="Arial" w:hAnsi="Arial"/>
          <w:b/>
          <w:i w:val="0"/>
          <w:sz w:val="28"/>
        </w:rPr>
        <w:t>[MONTO NEGADO EN DEVOLUCIÓN]</w:t>
      </w:r>
      <w:r>
        <w:rPr>
          <w:rFonts w:ascii="Arial" w:hAnsi="Arial"/>
          <w:b w:val="0"/>
          <w:i w:val="0"/>
          <w:sz w:val="28"/>
        </w:rPr>
        <w:t xml:space="preserve"> y la empresa soporta como costo propio un tributo que el legislador diseñó para trasladarse y acreditarse a lo largo de la cadena.</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El punto de partida es el propio artículo 5o., fracción I, de la ley del valor agregado, que define por remisión el requisito: para efectos de ese tributo </w:t>
      </w:r>
      <w:r>
        <w:rPr>
          <w:rFonts w:ascii="Arial" w:hAnsi="Arial"/>
          <w:b w:val="0"/>
          <w:i/>
          <w:sz w:val="28"/>
        </w:rPr>
        <w:t>“se consideran estrictamente indispensables las erogaciones efectuadas por el contribuyente que sean deducibles para los fines del impuesto sobre la renta, aun cuando no se esté obligado al pago de este último impuesto”</w:t>
      </w:r>
      <w:r>
        <w:rPr>
          <w:rFonts w:ascii="Arial" w:hAnsi="Arial"/>
          <w:b w:val="0"/>
          <w:i w:val="0"/>
          <w:sz w:val="28"/>
        </w:rPr>
        <w:t>. La indispensabilidad carece, así, de un contenido autónomo en el acreditamiento: se mide con la regla de las deducciones.</w:t>
      </w:r>
    </w:p>
    <w:p>
      <w:pPr>
        <w:spacing w:line="360" w:lineRule="auto"/>
        <w:jc w:val="both"/>
      </w:pPr>
      <w:r>
        <w:rPr>
          <w:rFonts w:ascii="Arial" w:hAnsi="Arial"/>
          <w:b w:val="0"/>
          <w:i w:val="0"/>
          <w:sz w:val="28"/>
        </w:rPr>
        <w:t>Esa regla, contenida en el artículo 27, fracción I, del ordenamiento del impuesto sobre la renta, vincula el carácter indispensable con los fines de la actividad, no con un proceso productivo aislado ni con la actividad preponderante inscrita en el registro. El legislador eligió una fórmula general porque los supuestos son casuísticos, de modo que el examen debe atender al objeto de la empresa y al gasto concreto de que se trate.</w:t>
      </w:r>
    </w:p>
    <w:p>
      <w:pPr>
        <w:spacing w:line="360" w:lineRule="auto"/>
        <w:jc w:val="both"/>
      </w:pPr>
      <w:r>
        <w:rPr>
          <w:rFonts w:ascii="Arial" w:hAnsi="Arial"/>
          <w:b w:val="0"/>
          <w:i w:val="0"/>
          <w:sz w:val="28"/>
        </w:rPr>
        <w:t>Como lo ha reconocido la Sala en casos análogos, el carácter indispensable se encuentra vinculado con la consecución del objeto social, y no desaparece porque el desembolso carezca de una relación directa o inmediata con un ingreso: basta que contribuya de modo indirecto a obtenerlo, o que se efectúe con la intención de generarlo aunque al final no lo produzca.</w:t>
      </w:r>
    </w:p>
    <w:p>
      <w:pPr>
        <w:spacing w:line="360" w:lineRule="auto"/>
        <w:jc w:val="both"/>
      </w:pPr>
      <w:r>
        <w:rPr>
          <w:rFonts w:ascii="Arial" w:hAnsi="Arial"/>
          <w:b w:val="0"/>
          <w:i w:val="0"/>
          <w:sz w:val="28"/>
        </w:rPr>
        <w:t>Esa lectura es la única compatible con el texto legal. La doctrina de la interpretación describe el argumento a generali sensu, conforme al cual, si el legislador expresó la norma en sentido general, el intérprete no debe entenderla en sentido particular ni hacer distinciones que la ley no hace de modo expreso.</w:t>
      </w:r>
      <w:r>
        <w:rPr>
          <w:rFonts w:ascii="Arial" w:hAnsi="Arial"/>
          <w:vertAlign w:val="superscript"/>
        </w:rPr>
        <w:t>1</w:t>
      </w:r>
      <w:r>
        <w:rPr>
          <w:rFonts w:ascii="Arial" w:hAnsi="Arial"/>
          <w:b w:val="0"/>
          <w:i w:val="0"/>
          <w:sz w:val="28"/>
        </w:rPr>
        <w:t xml:space="preserve"> Los preceptos en juego aluden a los fines de la actividad, sin calificativos; añadirles los calificativos de directo y exclusivo equivale a legislar una condición inexistente.</w:t>
      </w:r>
    </w:p>
    <w:p>
      <w:pPr>
        <w:spacing w:line="360" w:lineRule="auto"/>
        <w:jc w:val="both"/>
      </w:pPr>
      <w:r>
        <w:rPr>
          <w:rFonts w:ascii="Arial" w:hAnsi="Arial"/>
          <w:b w:val="0"/>
          <w:i w:val="0"/>
          <w:sz w:val="28"/>
        </w:rPr>
        <w:t xml:space="preserve">La exigencia tiene, además, raíz constitucional. El artículo 31, fracción IV, de la Constitución Política de los Estados Unidos Mexicanos obliga a contribuir al gasto público </w:t>
      </w:r>
      <w:r>
        <w:rPr>
          <w:rFonts w:ascii="Arial" w:hAnsi="Arial"/>
          <w:b w:val="0"/>
          <w:i/>
          <w:sz w:val="28"/>
        </w:rPr>
        <w:t>“de la manera proporcional y equitativa que dispongan las leyes”</w:t>
      </w:r>
      <w:r>
        <w:rPr>
          <w:rFonts w:ascii="Arial" w:hAnsi="Arial"/>
          <w:b w:val="0"/>
          <w:i w:val="0"/>
          <w:sz w:val="28"/>
        </w:rPr>
        <w:t>; si son las leyes las que disponen la medida del tributo, la autoridad aplicadora no puede estrechar por vía interpretativa los supuestos de acreditamiento que el legislador configuró, porque con ello altera la carga que el propio Congreso definió.</w:t>
      </w:r>
    </w:p>
    <w:p>
      <w:pPr>
        <w:spacing w:line="360" w:lineRule="auto"/>
        <w:jc w:val="both"/>
      </w:pPr>
      <w:r>
        <w:rPr>
          <w:rFonts w:ascii="Arial" w:hAnsi="Arial"/>
          <w:b w:val="0"/>
          <w:i w:val="0"/>
          <w:sz w:val="28"/>
        </w:rPr>
        <w:t>Bajo esa premisa resultan indispensables erogaciones que no integran el proceso de transformación, pero sin las cuales la empresa no podría operar con normalidad: los estudios socioeconómicos que depuran el reclutamiento, la asesoría psicológica con la que el patrón atiende el deber de prevenir los factores de riesgo psicosocial que impone la NOM-035-STPS-2018, la capacitación del personal, incluidos los idiomas cuando la clientela es extranjera, las comisiones de quien vende el producto y la renta del equipo productivo.</w:t>
      </w:r>
    </w:p>
    <w:p>
      <w:pPr>
        <w:spacing w:line="360" w:lineRule="auto"/>
        <w:jc w:val="both"/>
      </w:pPr>
      <w:r>
        <w:rPr>
          <w:rFonts w:ascii="Arial" w:hAnsi="Arial"/>
          <w:b w:val="0"/>
          <w:i w:val="0"/>
          <w:sz w:val="28"/>
        </w:rPr>
        <w:t>Lo anterior no releva a la contribuyente de la carga que le impone el artículo 40, primer párrafo, de la Ley Federal de Procedimiento Contencioso Administrativo, conforme al cual quien pretende que se reconozca un derecho subjetivo debe probar los hechos de los que deriva. Esa carga, sin embargo, recae sobre el nexo entre el gasto y los fines de la actividad, y no sobre una imposibilidad absoluta de operar sin él, estándar que la norma no prevé.</w:t>
      </w:r>
    </w:p>
    <w:p>
      <w:pPr>
        <w:spacing w:line="360" w:lineRule="auto"/>
        <w:jc w:val="both"/>
      </w:pPr>
      <w:r>
        <w:rPr>
          <w:rFonts w:ascii="Arial" w:hAnsi="Arial"/>
          <w:b w:val="0"/>
          <w:i w:val="0"/>
          <w:sz w:val="28"/>
        </w:rPr>
        <w:t>El criterio legal se satisface cuando, de no realizarse la erogación, la actividad se vería mermada o entorpecida en su normal funcionamiento; exigir la demostración de que la empresa quedaría paralizada convertiría en no deducibles la capacitación, la seguridad o la prevención de riesgos laborales, gastos que ninguna organización suprime sin afectar su productividad, aunque pudiera seguir funcionando durante algún tiempo.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La parte actora tiene como actividad </w:t>
      </w:r>
      <w:r>
        <w:rPr>
          <w:rFonts w:ascii="Arial" w:hAnsi="Arial"/>
          <w:b/>
          <w:i w:val="0"/>
          <w:sz w:val="28"/>
        </w:rPr>
        <w:t>[ACTIVIDAD U OBJETO SOCIAL DE LA PARTE ACTORA]</w:t>
      </w:r>
      <w:r>
        <w:rPr>
          <w:rFonts w:ascii="Arial" w:hAnsi="Arial"/>
          <w:b w:val="0"/>
          <w:i w:val="0"/>
          <w:sz w:val="28"/>
        </w:rPr>
        <w:t xml:space="preserve">, según consta en su instrumento constitutivo y en el Registro Federal de Contribuyentes. En </w:t>
      </w:r>
      <w:r>
        <w:rPr>
          <w:rFonts w:ascii="Arial" w:hAnsi="Arial"/>
          <w:b/>
          <w:i w:val="0"/>
          <w:sz w:val="28"/>
        </w:rPr>
        <w:t>[PERIODO DEL SALDO A FAVOR]</w:t>
      </w:r>
      <w:r>
        <w:rPr>
          <w:rFonts w:ascii="Arial" w:hAnsi="Arial"/>
          <w:b w:val="0"/>
          <w:i w:val="0"/>
          <w:sz w:val="28"/>
        </w:rPr>
        <w:t xml:space="preserve"> realizó las erogaciones por concepto de </w:t>
      </w:r>
      <w:r>
        <w:rPr>
          <w:rFonts w:ascii="Arial" w:hAnsi="Arial"/>
          <w:b/>
          <w:i w:val="0"/>
          <w:sz w:val="28"/>
        </w:rPr>
        <w:t>[CONCEPTOS DE GASTO RECHAZADOS]</w:t>
      </w:r>
      <w:r>
        <w:rPr>
          <w:rFonts w:ascii="Arial" w:hAnsi="Arial"/>
          <w:b w:val="0"/>
          <w:i w:val="0"/>
          <w:sz w:val="28"/>
        </w:rPr>
        <w:t>, por las que se le trasladó el impuesto cuyo acreditamiento se negó, y la negativa descansó en la supuesta falta de indispensabilidad, no en la inexistencia de las operaciones.</w:t>
      </w:r>
    </w:p>
    <w:p>
      <w:pPr>
        <w:spacing w:line="360" w:lineRule="auto"/>
        <w:jc w:val="both"/>
      </w:pPr>
      <w:r>
        <w:rPr>
          <w:rFonts w:ascii="Arial" w:hAnsi="Arial"/>
          <w:b w:val="0"/>
          <w:i w:val="0"/>
          <w:sz w:val="28"/>
        </w:rPr>
        <w:t xml:space="preserve">Cada una de esas erogaciones guarda un nexo verificable con los fines de la actividad, como lo acreditan </w:t>
      </w:r>
      <w:r>
        <w:rPr>
          <w:rFonts w:ascii="Arial" w:hAnsi="Arial"/>
          <w:b/>
          <w:i w:val="0"/>
          <w:sz w:val="28"/>
        </w:rPr>
        <w:t>[PRUEBAS QUE ACREDITAN EL VÍNCULO DE CADA GASTO]</w:t>
      </w:r>
      <w:r>
        <w:rPr>
          <w:rFonts w:ascii="Arial" w:hAnsi="Arial"/>
          <w:b w:val="0"/>
          <w:i w:val="0"/>
          <w:sz w:val="28"/>
        </w:rPr>
        <w:t>: las comisiones remuneran a quien coloca el producto y se corresponden con facturas de venta a clientes identificados; la capacitación y los idiomas habilitan al personal que trata con proveedores y clientes; los estudios socioeconómicos depuran la contratación, y la renta de equipo se destina a la línea de producción.</w:t>
      </w:r>
    </w:p>
    <w:p>
      <w:pPr>
        <w:spacing w:line="360" w:lineRule="auto"/>
        <w:jc w:val="both"/>
      </w:pPr>
      <w:r>
        <w:rPr>
          <w:rFonts w:ascii="Arial" w:hAnsi="Arial"/>
          <w:b w:val="0"/>
          <w:i w:val="0"/>
          <w:sz w:val="28"/>
        </w:rPr>
        <w:t>Esos documentos, aun cuando algunos sean privados, deben apreciarse en conjunto con los comprobantes fiscales y con el instrumento que acredita el objeto social, pues la adminiculación de indicios permite tener por demostrado el destino de cada erogación, sin que la autoridad pueda descartarlos uno por uno y concluir que ninguno basta por sí solo.</w:t>
      </w:r>
    </w:p>
    <w:p>
      <w:pPr>
        <w:spacing w:line="360" w:lineRule="auto"/>
        <w:jc w:val="both"/>
      </w:pPr>
      <w:r>
        <w:rPr>
          <w:rFonts w:ascii="Arial" w:hAnsi="Arial"/>
          <w:b w:val="0"/>
          <w:i w:val="0"/>
          <w:sz w:val="28"/>
        </w:rPr>
        <w:t xml:space="preserve">Frente a ello, la autoridad sostuvo que, para ser acreditable, el gasto debía estar </w:t>
      </w:r>
      <w:r>
        <w:rPr>
          <w:rFonts w:ascii="Arial" w:hAnsi="Arial"/>
          <w:b w:val="0"/>
          <w:i/>
          <w:sz w:val="28"/>
        </w:rPr>
        <w:t>“relacionado directamente y exclusivamente con la actividad gravada”</w:t>
      </w:r>
      <w:r>
        <w:rPr>
          <w:rFonts w:ascii="Arial" w:hAnsi="Arial"/>
          <w:b w:val="0"/>
          <w:i w:val="0"/>
          <w:sz w:val="28"/>
        </w:rPr>
        <w:t xml:space="preserve"> y que la contribuyente debía demostrar que, sin él, no podría realizar su actividad. Ese razonamiento es inválido por tres razones, cada una suficiente para desvirtuar la presunción de legalidad de la negativa.</w:t>
      </w:r>
    </w:p>
    <w:p>
      <w:pPr>
        <w:spacing w:line="360" w:lineRule="auto"/>
        <w:jc w:val="both"/>
      </w:pPr>
      <w:r>
        <w:rPr>
          <w:rFonts w:ascii="Arial" w:hAnsi="Arial"/>
          <w:b w:val="0"/>
          <w:i w:val="0"/>
          <w:sz w:val="28"/>
        </w:rPr>
        <w:t xml:space="preserve">En primer lugar, introduce una distinción que la ley no hace. Los preceptos aplicables se refieren a los fines de la actividad y no contienen los adverbios </w:t>
      </w:r>
      <w:r>
        <w:rPr>
          <w:rFonts w:ascii="Arial" w:hAnsi="Arial"/>
          <w:b w:val="0"/>
          <w:i/>
          <w:sz w:val="28"/>
        </w:rPr>
        <w:t>“directamente”</w:t>
      </w:r>
      <w:r>
        <w:rPr>
          <w:rFonts w:ascii="Arial" w:hAnsi="Arial"/>
          <w:b w:val="0"/>
          <w:i w:val="0"/>
          <w:sz w:val="28"/>
        </w:rPr>
        <w:t xml:space="preserve"> y </w:t>
      </w:r>
      <w:r>
        <w:rPr>
          <w:rFonts w:ascii="Arial" w:hAnsi="Arial"/>
          <w:b w:val="0"/>
          <w:i/>
          <w:sz w:val="28"/>
        </w:rPr>
        <w:t>“exclusivamente”</w:t>
      </w:r>
      <w:r>
        <w:rPr>
          <w:rFonts w:ascii="Arial" w:hAnsi="Arial"/>
          <w:b w:val="0"/>
          <w:i w:val="0"/>
          <w:sz w:val="28"/>
        </w:rPr>
        <w:t>; al incorporarlos, la autoridad dejó de aplicar la norma en sus términos y aplicó otra de su creación, lo que actualiza el supuesto de la fracción IV del artículo 51 de la ley procesal relativo a la resolución dictada en contravención de las disposiciones aplicadas.</w:t>
      </w:r>
    </w:p>
    <w:p>
      <w:pPr>
        <w:spacing w:line="360" w:lineRule="auto"/>
        <w:jc w:val="both"/>
      </w:pPr>
      <w:r>
        <w:rPr>
          <w:rFonts w:ascii="Arial" w:hAnsi="Arial"/>
          <w:b w:val="0"/>
          <w:i w:val="0"/>
          <w:sz w:val="28"/>
        </w:rPr>
        <w:t>En segundo lugar, el razonamiento incurre en un falso dilema, falacia que se produce, como en todo argumento disyuntivo, cuando los términos de la disyunción no son ciertos, exhaustivos o excluyentes.</w:t>
      </w:r>
      <w:r>
        <w:rPr>
          <w:rFonts w:ascii="Arial" w:hAnsi="Arial"/>
          <w:vertAlign w:val="superscript"/>
        </w:rPr>
        <w:t>2</w:t>
      </w:r>
      <w:r>
        <w:rPr>
          <w:rFonts w:ascii="Arial" w:hAnsi="Arial"/>
          <w:b w:val="0"/>
          <w:i w:val="0"/>
          <w:sz w:val="28"/>
        </w:rPr>
        <w:t xml:space="preserve"> La autoridad sólo admitió dos opciones, o el gasto integra el proceso productivo o no es indispensable, y omitió la tercera, que es la que la ley recoge: la del desembolso que contribuye de modo indirecto a generar ingresos.</w:t>
      </w:r>
    </w:p>
    <w:p>
      <w:pPr>
        <w:spacing w:line="360" w:lineRule="auto"/>
        <w:jc w:val="both"/>
      </w:pPr>
      <w:r>
        <w:rPr>
          <w:rFonts w:ascii="Arial" w:hAnsi="Arial"/>
          <w:b w:val="0"/>
          <w:i w:val="0"/>
          <w:sz w:val="28"/>
        </w:rPr>
        <w:t>En tercer lugar, la exigencia de probar que sin la erogación la empresa no podría funcionar eleva el estándar por encima del legal. La asesoría psicológica ilustra el error: la NOM-035-STPS-2018 obliga al patrón a adoptar medidas para prevenir y controlar los factores de riesgo psicosocial, de modo que el gasto realizado para cumplir esa obligación ineludible no puede reputarse ajeno a los fines de la actividad, máxime cuando, además, repercute en la productividad del personal.</w:t>
      </w:r>
    </w:p>
    <w:p>
      <w:pPr>
        <w:spacing w:line="360" w:lineRule="auto"/>
        <w:jc w:val="both"/>
      </w:pPr>
      <w:r>
        <w:rPr>
          <w:rFonts w:ascii="Arial" w:hAnsi="Arial"/>
          <w:b w:val="0"/>
          <w:i w:val="0"/>
          <w:sz w:val="28"/>
        </w:rPr>
        <w:t>Lo mismo ocurre con la capacitación y los idiomas, que inciden en la ejecución de las labores de quienes llevan a cabo el objeto de la empresa, y con los estudios socioeconómicos, sin los cuales el proceso de reclutamiento perdería eficacia. Ninguno de esos gastos es un lujo ni una liberalidad: todos se efectúan con la intención de sostener y aumentar los ingresos gravados de la contribuyente.</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indispensabilidad que condiciona el acreditamiento se mide por los fines de la actividad de la persona contribuyente y comprende las erogaciones que contribuyen de modo indirecto a generar ingresos; la autoridad la redujo a un vínculo directo y exclusivo con la actividad gravada, requisito ajeno a la ley, y con ello negó un acreditamiento procedente.</w:t>
      </w:r>
    </w:p>
    <w:p>
      <w:pPr>
        <w:spacing w:line="360" w:lineRule="auto"/>
        <w:jc w:val="both"/>
      </w:pPr>
      <w:r>
        <w:rPr>
          <w:rFonts w:ascii="Arial" w:hAnsi="Arial"/>
          <w:b w:val="0"/>
          <w:i w:val="0"/>
          <w:sz w:val="28"/>
        </w:rPr>
        <w:t xml:space="preserve">Por lo expuesto, procede declarar fundado este concepto, decretar la nulidad de la resolución impugnada con apoyo en los artículos 51, fracción IV, y 52, fracción V, inciso a), de la Ley Federal de Procedimiento Contencioso Administrativo, reconocer a la parte actora el derecho subjetivo al acreditamiento del impuesto trasladado por </w:t>
      </w:r>
      <w:r>
        <w:rPr>
          <w:rFonts w:ascii="Arial" w:hAnsi="Arial"/>
          <w:b/>
          <w:i w:val="0"/>
          <w:sz w:val="28"/>
        </w:rPr>
        <w:t>[CONCEPTOS DE GASTO RECHAZADOS]</w:t>
      </w:r>
      <w:r>
        <w:rPr>
          <w:rFonts w:ascii="Arial" w:hAnsi="Arial"/>
          <w:b w:val="0"/>
          <w:i w:val="0"/>
          <w:sz w:val="28"/>
        </w:rPr>
        <w:t xml:space="preserve"> y condenar a la autoridad a devolver el saldo a favor que resulte, con la actualización y los intereses previstos en los artículos 17-A, 22 y 22-A del Código Fiscal de la Federación.</w:t>
      </w:r>
    </w:p>
    <w:p>
      <w:pPr>
        <w:spacing w:line="360" w:lineRule="auto"/>
        <w:jc w:val="both"/>
      </w:pPr>
      <w:r>
        <w:rPr>
          <w:rFonts w:ascii="Arial" w:hAnsi="Arial"/>
          <w:b w:val="0"/>
          <w:i w:val="0"/>
          <w:sz w:val="28"/>
        </w:rPr>
        <w:t>Para que la cuantificación no quede remitida a una nueva resolución administrativa, la parte actora ofrece la prueba pericial en materia contable, cuyo cuestionario permitirá a la Sala determinar el saldo a favor con los conceptos cuyo acreditamiento se reconozca y pronunciarse en plenitud sobre el derecho lesionado.</w:t>
      </w:r>
    </w:p>
    <w:p>
      <w:pPr>
        <w:spacing w:line="360" w:lineRule="auto"/>
        <w:jc w:val="both"/>
      </w:pPr>
      <w:r>
        <w:rPr>
          <w:rFonts w:ascii="Arial" w:hAnsi="Arial"/>
          <w:b/>
          <w:sz w:val="28"/>
        </w:rPr>
        <w:t>SEGUNDO CONCEPTO DE IMPUGNACIÓN. Ilegal rechazo del acreditamiento del impuesto trasladado en el arrendamiento de un inmueble por la sola omisión del número de cuenta predial en el comprobante fiscal digital. El requisito del artículo 29-A, fracción V, inciso c), del Código Fiscal de la Federación es formal, corresponde al arrendador que expide el comprobante y cumple su finalidad cuando el inmueble queda identificado, por lo que su falta no extingue el derecho de fondo al acreditamiento.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Se demostrará que la autoridad negó el acreditamiento de </w:t>
      </w:r>
      <w:r>
        <w:rPr>
          <w:rFonts w:ascii="Arial" w:hAnsi="Arial"/>
          <w:b/>
          <w:i w:val="0"/>
          <w:sz w:val="28"/>
        </w:rPr>
        <w:t>[MONTO DEL IMPUESTO TRASLADADO EN ARRENDAMIENTO]</w:t>
      </w:r>
      <w:r>
        <w:rPr>
          <w:rFonts w:ascii="Arial" w:hAnsi="Arial"/>
          <w:b w:val="0"/>
          <w:i w:val="0"/>
          <w:sz w:val="28"/>
        </w:rPr>
        <w:t xml:space="preserve">, trasladado a la parte actora por el arrendamiento de </w:t>
      </w:r>
      <w:r>
        <w:rPr>
          <w:rFonts w:ascii="Arial" w:hAnsi="Arial"/>
          <w:b/>
          <w:i w:val="0"/>
          <w:sz w:val="28"/>
        </w:rPr>
        <w:t>[DESCRIPCIÓN DEL INMUEBLE ARRENDADO]</w:t>
      </w:r>
      <w:r>
        <w:rPr>
          <w:rFonts w:ascii="Arial" w:hAnsi="Arial"/>
          <w:b w:val="0"/>
          <w:i w:val="0"/>
          <w:sz w:val="28"/>
        </w:rPr>
        <w:t>, con el único argumento de que los comprobantes fiscales digitales expedidos por el arrendador no contienen el número de cuenta predial del inmueble.</w:t>
      </w:r>
    </w:p>
    <w:p>
      <w:pPr>
        <w:spacing w:line="360" w:lineRule="auto"/>
        <w:jc w:val="both"/>
      </w:pPr>
      <w:r>
        <w:rPr>
          <w:rFonts w:ascii="Arial" w:hAnsi="Arial"/>
          <w:b w:val="0"/>
          <w:i w:val="0"/>
          <w:sz w:val="28"/>
        </w:rPr>
        <w:t>La premisa es que ese dato existe para identificar el bien cuyo uso o goce se otorga; si la identificación se logra con la descripción del propio comprobante y con la documentación aportada, y la autoridad no duda de que el arrendamiento se prestó, la omisión es un defecto formal imputable a un tercero que no puede trasladarse a la esfera de la arrendataria ni privarla del acreditamiento.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impugnada, por sí o al confirmar la recurrida, sostuvo que los comprobantes con folios </w:t>
      </w:r>
      <w:r>
        <w:rPr>
          <w:rFonts w:ascii="Arial" w:hAnsi="Arial"/>
          <w:b/>
          <w:i w:val="0"/>
          <w:sz w:val="28"/>
        </w:rPr>
        <w:t>[FOLIOS FISCALES DE LOS COMPROBANTES DE ARRENDAMIENTO]</w:t>
      </w:r>
      <w:r>
        <w:rPr>
          <w:rFonts w:ascii="Arial" w:hAnsi="Arial"/>
          <w:b w:val="0"/>
          <w:i w:val="0"/>
          <w:sz w:val="28"/>
        </w:rPr>
        <w:t xml:space="preserve"> incumplen los artículos 29 y 29-A, fracción V, inciso c), del Código Fiscal de la Federación, y que por ello el impuesto que amparan no es acreditable. La norma inobservada es ese mismo inciso, cuyo alcance la autoridad desconoció, en relación con el artículo 51, fracción IV, de la ley procesal.</w:t>
      </w:r>
    </w:p>
    <w:p>
      <w:pPr>
        <w:spacing w:line="360" w:lineRule="auto"/>
        <w:jc w:val="both"/>
      </w:pPr>
      <w:r>
        <w:rPr>
          <w:rFonts w:ascii="Arial" w:hAnsi="Arial"/>
          <w:b w:val="0"/>
          <w:i w:val="0"/>
          <w:sz w:val="28"/>
        </w:rPr>
        <w:t>El perjuicio consiste en que la arrendataria pagó el impuesto a su arrendador, lo registró y lo declaró, y aun así pierde su acreditamiento por un dato que ella no tenía la obligación de asentar ni la posibilidad de corregir, pues sólo quien expide el comprobante puede emitirlo con la información completa.</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 xml:space="preserve">El artículo 29-A, fracción V, del Código Fiscal de la Federación exige que el comprobante contenga la </w:t>
      </w:r>
      <w:r>
        <w:rPr>
          <w:rFonts w:ascii="Arial" w:hAnsi="Arial"/>
          <w:b w:val="0"/>
          <w:i/>
          <w:sz w:val="28"/>
        </w:rPr>
        <w:t>“descripción del servicio o del uso o goce que amparen”</w:t>
      </w:r>
      <w:r>
        <w:rPr>
          <w:rFonts w:ascii="Arial" w:hAnsi="Arial"/>
          <w:b w:val="0"/>
          <w:i w:val="0"/>
          <w:sz w:val="28"/>
        </w:rPr>
        <w:t xml:space="preserve">, y su inciso c) añade que los expedidos por ingresos de arrendamiento </w:t>
      </w:r>
      <w:r>
        <w:rPr>
          <w:rFonts w:ascii="Arial" w:hAnsi="Arial"/>
          <w:b w:val="0"/>
          <w:i/>
          <w:sz w:val="28"/>
        </w:rPr>
        <w:t>“deberán contener el número de cuenta predial del inmueble de que se trate o, en su caso, los datos de identificación del certificado de participación inmobiliaria no amortizable”</w:t>
      </w:r>
      <w:r>
        <w:rPr>
          <w:rFonts w:ascii="Arial" w:hAnsi="Arial"/>
          <w:b w:val="0"/>
          <w:i w:val="0"/>
          <w:sz w:val="28"/>
        </w:rPr>
        <w:t>. La sola lectura revela la función del dato: individualizar el bien cuyo uso se concede.</w:t>
      </w:r>
    </w:p>
    <w:p>
      <w:pPr>
        <w:spacing w:line="360" w:lineRule="auto"/>
        <w:jc w:val="both"/>
      </w:pPr>
      <w:r>
        <w:rPr>
          <w:rFonts w:ascii="Arial" w:hAnsi="Arial"/>
          <w:b w:val="0"/>
          <w:i w:val="0"/>
          <w:sz w:val="28"/>
        </w:rPr>
        <w:t>Para fijar el alcance del requisito debe acudirse a la interpretación teleológica, que atribuye significado a la norma considerando la finalidad del precepto, su ratio legis.</w:t>
      </w:r>
      <w:r>
        <w:rPr>
          <w:rFonts w:ascii="Arial" w:hAnsi="Arial"/>
          <w:vertAlign w:val="superscript"/>
        </w:rPr>
        <w:t>3</w:t>
      </w:r>
      <w:r>
        <w:rPr>
          <w:rFonts w:ascii="Arial" w:hAnsi="Arial"/>
          <w:b w:val="0"/>
          <w:i w:val="0"/>
          <w:sz w:val="28"/>
        </w:rPr>
        <w:t xml:space="preserve"> La finalidad del inciso c) es que la autoridad cuente con datos fiables para identificar plenamente el inmueble y verificar que la operación se materializó; por eso el requisito queda satisfecho en la medida en que el comprobante y la documentación relacionada permitan esa identificación.</w:t>
      </w:r>
    </w:p>
    <w:p>
      <w:pPr>
        <w:spacing w:line="360" w:lineRule="auto"/>
        <w:jc w:val="both"/>
      </w:pPr>
      <w:r>
        <w:rPr>
          <w:rFonts w:ascii="Arial" w:hAnsi="Arial"/>
          <w:b w:val="0"/>
          <w:i w:val="0"/>
          <w:sz w:val="28"/>
        </w:rPr>
        <w:t>A ello se suma que el deber de asentar la cuenta predial recae en quien expide el comprobante, no en quien lo recibe. La carga de la receptora se limita a verificar los datos que el documento contiene; si el emisor incurrió en una omisión, la eficacia del comprobante queda sujeta a la fiscalización que la autoridad lleve a cabo y la contribuyente puede acreditar la operación con los medios de convicción a su alcance, criterio que la Sala ha asumido en asuntos análogos.</w:t>
      </w:r>
    </w:p>
    <w:p>
      <w:pPr>
        <w:spacing w:line="360" w:lineRule="auto"/>
        <w:jc w:val="both"/>
      </w:pPr>
      <w:r>
        <w:rPr>
          <w:rFonts w:ascii="Arial" w:hAnsi="Arial"/>
          <w:b w:val="0"/>
          <w:i w:val="0"/>
          <w:sz w:val="28"/>
        </w:rPr>
        <w:t>Esta conclusión armoniza con el principio de proporcionalidad tributaria. La doctrina sostiene que la capacidad contributiva permite distribuir la carga fiscal según la efectiva capacidad económica de la persona contribuyente, y cuestiona que los requisitos de las deducciones deban formar parte de esa capacidad.</w:t>
      </w:r>
      <w:r>
        <w:rPr>
          <w:rFonts w:ascii="Arial" w:hAnsi="Arial"/>
          <w:vertAlign w:val="superscript"/>
        </w:rPr>
        <w:t>4</w:t>
      </w:r>
      <w:r>
        <w:rPr>
          <w:rFonts w:ascii="Arial" w:hAnsi="Arial"/>
          <w:b w:val="0"/>
          <w:i w:val="0"/>
          <w:sz w:val="28"/>
        </w:rPr>
        <w:t xml:space="preserve"> Negar el acreditamiento de un impuesto efectivamente pagado por la falta de un dato que omitió el emisor obliga a la arrendataria a soportar un gravamen ajeno a su riqueza y a su conducta.</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En el caso, los comprobantes describen el bien arrendado como </w:t>
      </w:r>
      <w:r>
        <w:rPr>
          <w:rFonts w:ascii="Arial" w:hAnsi="Arial"/>
          <w:b/>
          <w:i w:val="0"/>
          <w:sz w:val="28"/>
        </w:rPr>
        <w:t>[DESCRIPCIÓN DEL INMUEBLE ARRENDADO]</w:t>
      </w:r>
      <w:r>
        <w:rPr>
          <w:rFonts w:ascii="Arial" w:hAnsi="Arial"/>
          <w:b w:val="0"/>
          <w:i w:val="0"/>
          <w:sz w:val="28"/>
        </w:rPr>
        <w:t xml:space="preserve"> y la parte actora aportó </w:t>
      </w:r>
      <w:r>
        <w:rPr>
          <w:rFonts w:ascii="Arial" w:hAnsi="Arial"/>
          <w:b/>
          <w:i w:val="0"/>
          <w:sz w:val="28"/>
        </w:rPr>
        <w:t>[DOCUMENTOS QUE IDENTIFICAN EL INMUEBLE]</w:t>
      </w:r>
      <w:r>
        <w:rPr>
          <w:rFonts w:ascii="Arial" w:hAnsi="Arial"/>
          <w:b w:val="0"/>
          <w:i w:val="0"/>
          <w:sz w:val="28"/>
        </w:rPr>
        <w:t xml:space="preserve">, con los que se conocen sus características y su ubicación. La cuenta predial no se asentó porque </w:t>
      </w:r>
      <w:r>
        <w:rPr>
          <w:rFonts w:ascii="Arial" w:hAnsi="Arial"/>
          <w:b/>
          <w:i w:val="0"/>
          <w:sz w:val="28"/>
        </w:rPr>
        <w:t>[MOTIVO POR EL QUE EL CFDI OMITIÓ LA CUENTA PREDIAL]</w:t>
      </w:r>
      <w:r>
        <w:rPr>
          <w:rFonts w:ascii="Arial" w:hAnsi="Arial"/>
          <w:b w:val="0"/>
          <w:i w:val="0"/>
          <w:sz w:val="28"/>
        </w:rPr>
        <w:t>, circunstancia que no impidió identificar el inmueble ni puso en duda la prestación del servicio, que la autoridad nunca cuestionó.</w:t>
      </w:r>
    </w:p>
    <w:p>
      <w:pPr>
        <w:spacing w:line="360" w:lineRule="auto"/>
        <w:jc w:val="both"/>
      </w:pPr>
      <w:r>
        <w:rPr>
          <w:rFonts w:ascii="Arial" w:hAnsi="Arial"/>
          <w:b w:val="0"/>
          <w:i w:val="0"/>
          <w:sz w:val="28"/>
        </w:rPr>
        <w:t>Cuando el inmueble forma parte de un fideicomiso, por ejemplo, la cuenta predial puede figurar a nombre de la institución fiduciaria y no del arrendador, de modo que el dato, lejos de facilitar la comprobación, podría complicarla; por eso la autoridad debía examinar en conjunto los comprobantes con el contrato de arrendamiento, el instrumento del fideicomiso y el recibo del predial, y no detenerse en la casilla vacía.</w:t>
      </w:r>
    </w:p>
    <w:p>
      <w:pPr>
        <w:spacing w:line="360" w:lineRule="auto"/>
        <w:jc w:val="both"/>
      </w:pPr>
      <w:r>
        <w:rPr>
          <w:rFonts w:ascii="Arial" w:hAnsi="Arial"/>
          <w:b w:val="0"/>
          <w:i w:val="0"/>
          <w:sz w:val="28"/>
        </w:rPr>
        <w:t>La motivación de la autoridad incurre en la falacia del secundum quid, que consiste en aplicar una regla con rigidez, como si careciera de excepciones, sin advertir que en el caso particular concurre una circunstancia especial que la vuelve inaplicable.</w:t>
      </w:r>
      <w:r>
        <w:rPr>
          <w:rFonts w:ascii="Arial" w:hAnsi="Arial"/>
          <w:vertAlign w:val="superscript"/>
        </w:rPr>
        <w:t>5</w:t>
      </w:r>
      <w:r>
        <w:rPr>
          <w:rFonts w:ascii="Arial" w:hAnsi="Arial"/>
          <w:b w:val="0"/>
          <w:i w:val="0"/>
          <w:sz w:val="28"/>
        </w:rPr>
        <w:t xml:space="preserve"> La autoridad trató el inciso c) como un fin en sí mismo y confundió el medio, el número de cuenta, con el fin, la identificación del inmueble.</w:t>
      </w:r>
    </w:p>
    <w:p>
      <w:pPr>
        <w:spacing w:line="360" w:lineRule="auto"/>
        <w:jc w:val="both"/>
      </w:pPr>
      <w:r>
        <w:rPr>
          <w:rFonts w:ascii="Arial" w:hAnsi="Arial"/>
          <w:b w:val="0"/>
          <w:i w:val="0"/>
          <w:sz w:val="28"/>
        </w:rPr>
        <w:t>Cumplido ese fin por otra vía, el requisito está satisfecho en lo sustancial y la consecuencia extrema de negar el acreditamiento carece de sustento. La autoridad, que conservaba intactas sus facultades para requerir información adicional si dudaba de la operación, no las ejerció ni objetó la materialidad del arrendamiento; se limitó a constatar la ausencia del dato, lo que confirma que apreció los hechos en forma equivocada.</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el número de cuenta predial cumple una función de identificación; si el inmueble está identificado con la descripción del comprobante y con la documentación aportada, y la prestación del servicio no está en duda, el requisito se satisface en su finalidad y la omisión del arrendador no priva a la parte actora del acreditamiento.</w:t>
      </w:r>
    </w:p>
    <w:p>
      <w:pPr>
        <w:spacing w:line="360" w:lineRule="auto"/>
        <w:jc w:val="both"/>
      </w:pPr>
      <w:r>
        <w:rPr>
          <w:rFonts w:ascii="Arial" w:hAnsi="Arial"/>
          <w:b w:val="0"/>
          <w:i w:val="0"/>
          <w:sz w:val="28"/>
        </w:rPr>
        <w:t xml:space="preserve">Por lo expuesto, procede declarar fundado este concepto, declarar la nulidad de la resolución impugnada con fundamento en los artículos 51, fracción IV, y 52, fracción V, inciso a), de la Ley Federal de Procedimiento Contencioso Administrativo, y reconocer el derecho de la parte actora a acreditar </w:t>
      </w:r>
      <w:r>
        <w:rPr>
          <w:rFonts w:ascii="Arial" w:hAnsi="Arial"/>
          <w:b/>
          <w:i w:val="0"/>
          <w:sz w:val="28"/>
        </w:rPr>
        <w:t>[MONTO DEL IMPUESTO TRASLADADO EN ARRENDAMIENTO]</w:t>
      </w:r>
      <w:r>
        <w:rPr>
          <w:rFonts w:ascii="Arial" w:hAnsi="Arial"/>
          <w:b w:val="0"/>
          <w:i w:val="0"/>
          <w:sz w:val="28"/>
        </w:rPr>
        <w:t>, con la consecuente condena a devolver el saldo a favor en la proporción que corresponda, debidamente actualizado y con los intereses que procedan.</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 p. 150.</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32.</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 p. 1281.</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FERRER MAC-GREGOR, op. cit.</w:t>
      </w:r>
      <w:r>
        <w:rPr>
          <w:rFonts w:ascii="Arial" w:hAnsi="Arial"/>
          <w:i w:val="0"/>
          <w:sz w:val="20"/>
        </w:rPr>
        <w:t>, p. 1707.</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84.</w:t>
      </w:r>
    </w:p>
    <w:p/>
    <w:p>
      <w:r>
        <w:rPr>
          <w:rFonts w:ascii="Arial" w:hAnsi="Arial"/>
          <w:b/>
          <w:sz w:val="22"/>
        </w:rPr>
        <w:t>BIBLIOGRAFÍA</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