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sz w:val="28"/>
        </w:rPr>
        <w:t>MACHOTE. DEMANDA DE NULIDAD TFJA. COMPETENCIA TERRITORIAL MAL FUNDADA</w:t>
      </w:r>
    </w:p>
    <w:p>
      <w:pPr>
        <w:jc w:val="center"/>
      </w:pPr>
      <w:r>
        <w:rPr>
          <w:rFonts w:ascii="Arial" w:hAnsi="Arial"/>
          <w:sz w:val="20"/>
        </w:rPr>
        <w:t>Machote gratuito de Academia de Amparo y Derecho — academiadeamparo.com</w:t>
      </w:r>
    </w:p>
    <w:p/>
    <w:p>
      <w:r>
        <w:rPr>
          <w:rFonts w:ascii="Arial" w:hAnsi="Arial"/>
          <w:b/>
          <w:sz w:val="24"/>
        </w:rPr>
        <w:t>CÓMO USAR ESTE MACHOTE</w:t>
      </w:r>
    </w:p>
    <w:p>
      <w:pPr>
        <w:spacing w:line="360" w:lineRule="auto"/>
        <w:jc w:val="both"/>
      </w:pPr>
      <w:r>
        <w:rPr>
          <w:rFonts w:ascii="Arial" w:hAnsi="Arial"/>
          <w:b w:val="0"/>
          <w:i w:val="0"/>
          <w:sz w:val="24"/>
        </w:rPr>
        <w:t>Abre el machote y sustituye los campos entre corchetes con los datos de tu expediente. Antes de llenarlo, localiza en tu resolución la parte donde la autoridad cita los preceptos de su competencia y verifica, norma en mano, si alguno de ellos contiene varios párrafos o fracciones sin que se haya precisado la porción aplicable: ese hallazgo es el corazón del concepto. Inserta el apartado dentro de tu demanda de nulidad, en el capítulo de conceptos de impugnación, y ajusta el número ordinal al lugar que le corresponda.</w:t>
      </w:r>
    </w:p>
    <w:p>
      <w:pPr>
        <w:spacing w:line="360" w:lineRule="auto"/>
        <w:jc w:val="both"/>
      </w:pPr>
      <w:r>
        <w:rPr>
          <w:rFonts w:ascii="Arial" w:hAnsi="Arial"/>
          <w:b/>
          <w:i w:val="0"/>
          <w:sz w:val="24"/>
        </w:rPr>
        <w:t>[NÚMERO ORDINAL]</w:t>
      </w:r>
      <w:r>
        <w:rPr>
          <w:rFonts w:ascii="Arial" w:hAnsi="Arial"/>
          <w:b w:val="0"/>
          <w:i w:val="0"/>
          <w:sz w:val="24"/>
        </w:rPr>
        <w:t>: PRIMER, SEGUNDO… según la posición del concepto en tu demanda.</w:t>
      </w:r>
    </w:p>
    <w:p>
      <w:pPr>
        <w:spacing w:line="360" w:lineRule="auto"/>
        <w:jc w:val="both"/>
      </w:pPr>
      <w:r>
        <w:rPr>
          <w:rFonts w:ascii="Arial" w:hAnsi="Arial"/>
          <w:b/>
          <w:i w:val="0"/>
          <w:sz w:val="24"/>
        </w:rPr>
        <w:t>[NÚMERO DE FOLIO DE LA RESOLUCIÓN IMPUGNADA]</w:t>
      </w:r>
      <w:r>
        <w:rPr>
          <w:rFonts w:ascii="Arial" w:hAnsi="Arial"/>
          <w:b w:val="0"/>
          <w:i w:val="0"/>
          <w:sz w:val="24"/>
        </w:rPr>
        <w:t>: folio o número de control de la multa o resolución.</w:t>
      </w:r>
    </w:p>
    <w:p>
      <w:pPr>
        <w:spacing w:line="360" w:lineRule="auto"/>
        <w:jc w:val="both"/>
      </w:pPr>
      <w:r>
        <w:rPr>
          <w:rFonts w:ascii="Arial" w:hAnsi="Arial"/>
          <w:b/>
          <w:i w:val="0"/>
          <w:sz w:val="24"/>
        </w:rPr>
        <w:t>[AUTORIDAD DEMANDADA]</w:t>
      </w:r>
      <w:r>
        <w:rPr>
          <w:rFonts w:ascii="Arial" w:hAnsi="Arial"/>
          <w:b w:val="0"/>
          <w:i w:val="0"/>
          <w:sz w:val="24"/>
        </w:rPr>
        <w:t>: denominación completa de la autoridad que emitió el acto.</w:t>
      </w:r>
    </w:p>
    <w:p>
      <w:pPr>
        <w:spacing w:line="360" w:lineRule="auto"/>
        <w:jc w:val="both"/>
      </w:pPr>
      <w:r>
        <w:rPr>
          <w:rFonts w:ascii="Arial" w:hAnsi="Arial"/>
          <w:b/>
          <w:i w:val="0"/>
          <w:sz w:val="24"/>
        </w:rPr>
        <w:t>[ARTÍCULO QUE CONTIENE VARIOS SUPUESTOS]</w:t>
      </w:r>
      <w:r>
        <w:rPr>
          <w:rFonts w:ascii="Arial" w:hAnsi="Arial"/>
          <w:b w:val="0"/>
          <w:i w:val="0"/>
          <w:sz w:val="24"/>
        </w:rPr>
        <w:t>: el precepto citado de forma genérica que abriga hipótesis distintas.</w:t>
      </w:r>
    </w:p>
    <w:p>
      <w:pPr>
        <w:spacing w:line="360" w:lineRule="auto"/>
        <w:jc w:val="both"/>
      </w:pPr>
      <w:r>
        <w:rPr>
          <w:rFonts w:ascii="Arial" w:hAnsi="Arial"/>
          <w:b/>
          <w:i w:val="0"/>
          <w:sz w:val="24"/>
        </w:rPr>
        <w:t>[NOMBRE DE LA PARTE ACTORA]</w:t>
      </w:r>
      <w:r>
        <w:rPr>
          <w:rFonts w:ascii="Arial" w:hAnsi="Arial"/>
          <w:b w:val="0"/>
          <w:i w:val="0"/>
          <w:sz w:val="24"/>
        </w:rPr>
        <w:t>: nombre completo de quien demanda.</w:t>
      </w:r>
    </w:p>
    <w:p>
      <w:pPr>
        <w:spacing w:line="360" w:lineRule="auto"/>
        <w:jc w:val="both"/>
      </w:pPr>
      <w:r>
        <w:rPr>
          <w:rFonts w:ascii="Arial" w:hAnsi="Arial"/>
          <w:b/>
          <w:i w:val="0"/>
          <w:sz w:val="24"/>
        </w:rPr>
        <w:t>[MONTO DE LA MULTA]</w:t>
      </w:r>
      <w:r>
        <w:rPr>
          <w:rFonts w:ascii="Arial" w:hAnsi="Arial"/>
          <w:b w:val="0"/>
          <w:i w:val="0"/>
          <w:sz w:val="24"/>
        </w:rPr>
        <w:t>: cantidad determinada en la resolución.</w:t>
      </w:r>
    </w:p>
    <w:p>
      <w:pPr>
        <w:spacing w:line="360" w:lineRule="auto"/>
        <w:jc w:val="both"/>
      </w:pPr>
      <w:r>
        <w:rPr>
          <w:rFonts w:ascii="Arial" w:hAnsi="Arial"/>
          <w:b/>
          <w:i w:val="0"/>
          <w:sz w:val="24"/>
        </w:rPr>
        <w:t>[FECHA DE LA RESOLUCIÓN IMPUGNADA]</w:t>
      </w:r>
      <w:r>
        <w:rPr>
          <w:rFonts w:ascii="Arial" w:hAnsi="Arial"/>
          <w:b w:val="0"/>
          <w:i w:val="0"/>
          <w:sz w:val="24"/>
        </w:rPr>
        <w:t>: fecha de emisión del acto.</w:t>
      </w:r>
    </w:p>
    <w:p>
      <w:pPr>
        <w:spacing w:line="360" w:lineRule="auto"/>
        <w:jc w:val="both"/>
      </w:pPr>
      <w:r>
        <w:rPr>
          <w:rFonts w:ascii="Arial" w:hAnsi="Arial"/>
          <w:b/>
          <w:i w:val="0"/>
          <w:sz w:val="24"/>
        </w:rPr>
        <w:t>[FECHA DE NOTIFICACIÓN]</w:t>
      </w:r>
      <w:r>
        <w:rPr>
          <w:rFonts w:ascii="Arial" w:hAnsi="Arial"/>
          <w:b w:val="0"/>
          <w:i w:val="0"/>
          <w:sz w:val="24"/>
        </w:rPr>
        <w:t>: día en que te notificaron, para acreditar la oportunidad.</w:t>
      </w:r>
    </w:p>
    <w:p>
      <w:pPr>
        <w:spacing w:line="360" w:lineRule="auto"/>
        <w:jc w:val="both"/>
      </w:pPr>
      <w:r>
        <w:rPr>
          <w:rFonts w:ascii="Arial" w:hAnsi="Arial"/>
          <w:b/>
          <w:i w:val="0"/>
          <w:sz w:val="24"/>
        </w:rPr>
        <w:t>[FOJA DE LA RESOLUCIÓN DONDE OBRA LA CITA DE COMPETENCIA]</w:t>
      </w:r>
      <w:r>
        <w:rPr>
          <w:rFonts w:ascii="Arial" w:hAnsi="Arial"/>
          <w:b w:val="0"/>
          <w:i w:val="0"/>
          <w:sz w:val="24"/>
        </w:rPr>
        <w:t>: página del documento donde aparecen los preceptos invocados.</w:t>
      </w:r>
    </w:p>
    <w:p>
      <w:pPr>
        <w:spacing w:line="360" w:lineRule="auto"/>
        <w:jc w:val="both"/>
      </w:pPr>
      <w:r>
        <w:rPr>
          <w:rFonts w:ascii="Arial" w:hAnsi="Arial"/>
          <w:b/>
          <w:i w:val="0"/>
          <w:sz w:val="24"/>
        </w:rPr>
        <w:t>[PRECEPTOS INVOCADOS PARA FUNDAR LA COMPETENCIA]</w:t>
      </w:r>
      <w:r>
        <w:rPr>
          <w:rFonts w:ascii="Arial" w:hAnsi="Arial"/>
          <w:b w:val="0"/>
          <w:i w:val="0"/>
          <w:sz w:val="24"/>
        </w:rPr>
        <w:t>: transcripción de la cadena de artículos que citó la autoridad.</w:t>
      </w:r>
    </w:p>
    <w:p>
      <w:pPr>
        <w:spacing w:line="360" w:lineRule="auto"/>
        <w:jc w:val="both"/>
      </w:pPr>
      <w:r>
        <w:rPr>
          <w:rFonts w:ascii="Arial" w:hAnsi="Arial"/>
          <w:b/>
          <w:i w:val="0"/>
          <w:sz w:val="24"/>
        </w:rPr>
        <w:t>[ENTIDAD FEDERATIVA]</w:t>
      </w:r>
      <w:r>
        <w:rPr>
          <w:rFonts w:ascii="Arial" w:hAnsi="Arial"/>
          <w:b w:val="0"/>
          <w:i w:val="0"/>
          <w:sz w:val="24"/>
        </w:rPr>
        <w:t>: estado cuyo territorio delimita la actuación de la autoridad.</w:t>
      </w:r>
    </w:p>
    <w:p>
      <w:pPr>
        <w:spacing w:line="360" w:lineRule="auto"/>
        <w:jc w:val="both"/>
      </w:pPr>
      <w:r>
        <w:rPr>
          <w:rFonts w:ascii="Arial" w:hAnsi="Arial"/>
          <w:b/>
          <w:i w:val="0"/>
          <w:sz w:val="24"/>
        </w:rPr>
        <w:t>[PORCIÓN NORMATIVA EXACTAMENTE APLICABLE]</w:t>
      </w:r>
      <w:r>
        <w:rPr>
          <w:rFonts w:ascii="Arial" w:hAnsi="Arial"/>
          <w:b w:val="0"/>
          <w:i w:val="0"/>
          <w:sz w:val="24"/>
        </w:rPr>
        <w:t>: el párrafo o fracción que la autoridad debió precisar y omitió.</w:t>
      </w:r>
    </w:p>
    <w:p>
      <w:pPr>
        <w:spacing w:line="360" w:lineRule="auto"/>
        <w:jc w:val="both"/>
      </w:pPr>
      <w:r>
        <w:rPr>
          <w:rFonts w:ascii="Arial" w:hAnsi="Arial"/>
          <w:b/>
          <w:i w:val="0"/>
          <w:sz w:val="24"/>
        </w:rPr>
        <w:t>[SALA REGIONAL COMPETENTE]</w:t>
      </w:r>
      <w:r>
        <w:rPr>
          <w:rFonts w:ascii="Arial" w:hAnsi="Arial"/>
          <w:b w:val="0"/>
          <w:i w:val="0"/>
          <w:sz w:val="24"/>
        </w:rPr>
        <w:t>: Sala del Tribunal Federal de Justicia Administrativa a la que diriges la demanda.</w:t>
      </w:r>
    </w:p>
    <w:p/>
    <w:p>
      <w:pPr>
        <w:spacing w:line="360" w:lineRule="auto"/>
        <w:jc w:val="both"/>
      </w:pPr>
      <w:r>
        <w:rPr>
          <w:rFonts w:ascii="Arial" w:hAnsi="Arial"/>
          <w:b/>
          <w:sz w:val="28"/>
        </w:rPr>
        <w:t>[NÚMERO ORDINAL] CONCEPTO DE IMPUGNACIÓN. Ilegalidad de la resolución impugnada por indebida e insuficiente fundamentación de la competencia territorial de la autoridad emisora, en contravención de los artículos 16, primer párrafo, de la Constitución Política de los Estados Unidos Mexicanos y 38, fracción IV, del Código Fiscal de la Federación, lo que actualiza la causal de ilegalidad prevista en el artículo 51, fracción II, de la Ley Federal de Procedimiento Contencioso Administrativo y conduce a la nulidad lisa y llana en términos del artículo 52, fracción II, del propio ordenamiento.</w:t>
      </w:r>
    </w:p>
    <w:p>
      <w:pPr>
        <w:spacing w:line="360" w:lineRule="auto"/>
        <w:jc w:val="both"/>
      </w:pPr>
      <w:r>
        <w:rPr>
          <w:rFonts w:ascii="Arial" w:hAnsi="Arial"/>
          <w:b/>
          <w:sz w:val="28"/>
        </w:rPr>
        <w:t>I. Síntesis.</w:t>
      </w:r>
    </w:p>
    <w:p>
      <w:pPr>
        <w:spacing w:line="360" w:lineRule="auto"/>
        <w:jc w:val="both"/>
      </w:pPr>
      <w:r>
        <w:rPr>
          <w:rFonts w:ascii="Arial" w:hAnsi="Arial"/>
          <w:b w:val="0"/>
          <w:i w:val="0"/>
          <w:sz w:val="28"/>
        </w:rPr>
        <w:t xml:space="preserve">En este concepto de impugnación se demostrará que la resolución con número de folio </w:t>
      </w:r>
      <w:r>
        <w:rPr>
          <w:rFonts w:ascii="Arial" w:hAnsi="Arial"/>
          <w:b/>
          <w:i w:val="0"/>
          <w:sz w:val="28"/>
        </w:rPr>
        <w:t>[NÚMERO DE FOLIO DE LA RESOLUCIÓN IMPUGNADA]</w:t>
      </w:r>
      <w:r>
        <w:rPr>
          <w:rFonts w:ascii="Arial" w:hAnsi="Arial"/>
          <w:b w:val="0"/>
          <w:i w:val="0"/>
          <w:sz w:val="28"/>
        </w:rPr>
        <w:t xml:space="preserve">, emitida por la </w:t>
      </w:r>
      <w:r>
        <w:rPr>
          <w:rFonts w:ascii="Arial" w:hAnsi="Arial"/>
          <w:b/>
          <w:i w:val="0"/>
          <w:sz w:val="28"/>
        </w:rPr>
        <w:t>[AUTORIDAD DEMANDADA]</w:t>
      </w:r>
      <w:r>
        <w:rPr>
          <w:rFonts w:ascii="Arial" w:hAnsi="Arial"/>
          <w:b w:val="0"/>
          <w:i w:val="0"/>
          <w:sz w:val="28"/>
        </w:rPr>
        <w:t xml:space="preserve">, es ilegal, porque dicha autoridad no fundó debidamente su competencia por razón de territorio: invocó una cadena de preceptos entre los que aparece el </w:t>
      </w:r>
      <w:r>
        <w:rPr>
          <w:rFonts w:ascii="Arial" w:hAnsi="Arial"/>
          <w:b/>
          <w:i w:val="0"/>
          <w:sz w:val="28"/>
        </w:rPr>
        <w:t>[ARTÍCULO QUE CONTIENE VARIOS SUPUESTOS]</w:t>
      </w:r>
      <w:r>
        <w:rPr>
          <w:rFonts w:ascii="Arial" w:hAnsi="Arial"/>
          <w:b w:val="0"/>
          <w:i w:val="0"/>
          <w:sz w:val="28"/>
        </w:rPr>
        <w:t>, numeral que abriga hipótesis normativas distintas, y omitió precisar el párrafo, apartado o fracción exactamente aplicable al caso.</w:t>
      </w:r>
    </w:p>
    <w:p>
      <w:pPr>
        <w:spacing w:line="360" w:lineRule="auto"/>
        <w:jc w:val="both"/>
      </w:pPr>
      <w:r>
        <w:rPr>
          <w:rFonts w:ascii="Arial" w:hAnsi="Arial"/>
          <w:b w:val="0"/>
          <w:i w:val="0"/>
          <w:sz w:val="28"/>
        </w:rPr>
        <w:t xml:space="preserve">Esa omisión impide a </w:t>
      </w:r>
      <w:r>
        <w:rPr>
          <w:rFonts w:ascii="Arial" w:hAnsi="Arial"/>
          <w:b/>
          <w:i w:val="0"/>
          <w:sz w:val="28"/>
        </w:rPr>
        <w:t>[NOMBRE DE LA PARTE ACTORA]</w:t>
      </w:r>
      <w:r>
        <w:rPr>
          <w:rFonts w:ascii="Arial" w:hAnsi="Arial"/>
          <w:b w:val="0"/>
          <w:i w:val="0"/>
          <w:sz w:val="28"/>
        </w:rPr>
        <w:t xml:space="preserve"> verificar si la emisora actuó dentro de la circunscripción espacial que la norma le asigna, la coloca en estado de indefensión y actualiza la causal de ilegalidad prevista en el artículo 51, fracción II, de la Ley Federal de Procedimiento Contencioso Administrativo, con la consecuente nulidad lisa y llana de la multa impuesta en cantidad de </w:t>
      </w:r>
      <w:r>
        <w:rPr>
          <w:rFonts w:ascii="Arial" w:hAnsi="Arial"/>
          <w:b/>
          <w:i w:val="0"/>
          <w:sz w:val="28"/>
        </w:rPr>
        <w:t>[MONTO DE LA MULTA]</w:t>
      </w:r>
      <w:r>
        <w:rPr>
          <w:rFonts w:ascii="Arial" w:hAnsi="Arial"/>
          <w:b w:val="0"/>
          <w:i w:val="0"/>
          <w:sz w:val="28"/>
        </w:rPr>
        <w:t>.</w:t>
      </w:r>
    </w:p>
    <w:p>
      <w:pPr>
        <w:spacing w:line="360" w:lineRule="auto"/>
        <w:jc w:val="both"/>
      </w:pPr>
      <w:r>
        <w:rPr>
          <w:rFonts w:ascii="Arial" w:hAnsi="Arial"/>
          <w:b/>
          <w:sz w:val="28"/>
        </w:rPr>
        <w:t>II. Planteamiento.</w:t>
      </w:r>
    </w:p>
    <w:p>
      <w:pPr>
        <w:spacing w:line="360" w:lineRule="auto"/>
        <w:jc w:val="both"/>
      </w:pPr>
      <w:r>
        <w:rPr>
          <w:rFonts w:ascii="Arial" w:hAnsi="Arial"/>
          <w:b w:val="0"/>
          <w:i w:val="0"/>
          <w:sz w:val="28"/>
        </w:rPr>
        <w:t xml:space="preserve">La resolución impugnada, de fecha </w:t>
      </w:r>
      <w:r>
        <w:rPr>
          <w:rFonts w:ascii="Arial" w:hAnsi="Arial"/>
          <w:b/>
          <w:i w:val="0"/>
          <w:sz w:val="28"/>
        </w:rPr>
        <w:t>[FECHA DE LA RESOLUCIÓN IMPUGNADA]</w:t>
      </w:r>
      <w:r>
        <w:rPr>
          <w:rFonts w:ascii="Arial" w:hAnsi="Arial"/>
          <w:b w:val="0"/>
          <w:i w:val="0"/>
          <w:sz w:val="28"/>
        </w:rPr>
        <w:t xml:space="preserve">, fue notificada a la parte actora el </w:t>
      </w:r>
      <w:r>
        <w:rPr>
          <w:rFonts w:ascii="Arial" w:hAnsi="Arial"/>
          <w:b/>
          <w:i w:val="0"/>
          <w:sz w:val="28"/>
        </w:rPr>
        <w:t>[FECHA DE NOTIFICACIÓN]</w:t>
      </w:r>
      <w:r>
        <w:rPr>
          <w:rFonts w:ascii="Arial" w:hAnsi="Arial"/>
          <w:b w:val="0"/>
          <w:i w:val="0"/>
          <w:sz w:val="28"/>
        </w:rPr>
        <w:t xml:space="preserve"> e impone una multa en cantidad de </w:t>
      </w:r>
      <w:r>
        <w:rPr>
          <w:rFonts w:ascii="Arial" w:hAnsi="Arial"/>
          <w:b/>
          <w:i w:val="0"/>
          <w:sz w:val="28"/>
        </w:rPr>
        <w:t>[MONTO DE LA MULTA]</w:t>
      </w:r>
      <w:r>
        <w:rPr>
          <w:rFonts w:ascii="Arial" w:hAnsi="Arial"/>
          <w:b w:val="0"/>
          <w:i w:val="0"/>
          <w:sz w:val="28"/>
        </w:rPr>
        <w:t>. La presente demanda se promueve dentro del plazo de treinta días previsto en el artículo 58-2, párrafo tercero, de la Ley Federal de Procedimiento Contencioso Administrativo, plazo que rige incluso cuando el juicio se tramita en la vía sumaria.</w:t>
      </w:r>
    </w:p>
    <w:p>
      <w:pPr>
        <w:spacing w:line="360" w:lineRule="auto"/>
        <w:jc w:val="both"/>
      </w:pPr>
      <w:r>
        <w:rPr>
          <w:rFonts w:ascii="Arial" w:hAnsi="Arial"/>
          <w:b w:val="0"/>
          <w:i w:val="0"/>
          <w:sz w:val="28"/>
        </w:rPr>
        <w:t xml:space="preserve">Para pretender fundar su competencia, la autoridad emisora citó en el propio documento, visible en </w:t>
      </w:r>
      <w:r>
        <w:rPr>
          <w:rFonts w:ascii="Arial" w:hAnsi="Arial"/>
          <w:b/>
          <w:i w:val="0"/>
          <w:sz w:val="28"/>
        </w:rPr>
        <w:t>[FOJA DE LA RESOLUCIÓN DONDE OBRA LA CITA DE COMPETENCIA]</w:t>
      </w:r>
      <w:r>
        <w:rPr>
          <w:rFonts w:ascii="Arial" w:hAnsi="Arial"/>
          <w:b w:val="0"/>
          <w:i w:val="0"/>
          <w:sz w:val="28"/>
        </w:rPr>
        <w:t xml:space="preserve">, los preceptos siguientes: </w:t>
      </w:r>
      <w:r>
        <w:rPr>
          <w:rFonts w:ascii="Arial" w:hAnsi="Arial"/>
          <w:b/>
          <w:i w:val="0"/>
          <w:sz w:val="28"/>
        </w:rPr>
        <w:t>[PRECEPTOS INVOCADOS PARA FUNDAR LA COMPETENCIA]</w:t>
      </w:r>
      <w:r>
        <w:rPr>
          <w:rFonts w:ascii="Arial" w:hAnsi="Arial"/>
          <w:b w:val="0"/>
          <w:i w:val="0"/>
          <w:sz w:val="28"/>
        </w:rPr>
        <w:t xml:space="preserve">. En esa cadena figura el </w:t>
      </w:r>
      <w:r>
        <w:rPr>
          <w:rFonts w:ascii="Arial" w:hAnsi="Arial"/>
          <w:b/>
          <w:i w:val="0"/>
          <w:sz w:val="28"/>
        </w:rPr>
        <w:t>[ARTÍCULO QUE CONTIENE VARIOS SUPUESTOS]</w:t>
      </w:r>
      <w:r>
        <w:rPr>
          <w:rFonts w:ascii="Arial" w:hAnsi="Arial"/>
          <w:b w:val="0"/>
          <w:i w:val="0"/>
          <w:sz w:val="28"/>
        </w:rPr>
        <w:t xml:space="preserve">, numeral que regula, en porciones normativas separadas, tanto a órganos con atribuciones en todo el territorio de </w:t>
      </w:r>
      <w:r>
        <w:rPr>
          <w:rFonts w:ascii="Arial" w:hAnsi="Arial"/>
          <w:b/>
          <w:i w:val="0"/>
          <w:sz w:val="28"/>
        </w:rPr>
        <w:t>[ENTIDAD FEDERATIVA]</w:t>
      </w:r>
      <w:r>
        <w:rPr>
          <w:rFonts w:ascii="Arial" w:hAnsi="Arial"/>
          <w:b w:val="0"/>
          <w:i w:val="0"/>
          <w:sz w:val="28"/>
        </w:rPr>
        <w:t xml:space="preserve"> como a oficinas cuya actuación se constriñe a una circunscripción determinada.</w:t>
      </w:r>
    </w:p>
    <w:p>
      <w:pPr>
        <w:spacing w:line="360" w:lineRule="auto"/>
        <w:jc w:val="both"/>
      </w:pPr>
      <w:r>
        <w:rPr>
          <w:rFonts w:ascii="Arial" w:hAnsi="Arial"/>
          <w:b w:val="0"/>
          <w:i w:val="0"/>
          <w:sz w:val="28"/>
        </w:rPr>
        <w:t>La norma que rige el acto es la garantía de fundamentación de los actos de molestia: los artículos 16, primer párrafo, constitucional y 38, fracción IV, del Código Fiscal de la Federación exigen que todo acto que deba notificarse esté fundado y motivado, exigencia que comprende, de manera destacada, la cita precisa de los preceptos que otorgan competencia a la autoridad por razón de materia, de grado y de territorio.</w:t>
      </w:r>
    </w:p>
    <w:p>
      <w:pPr>
        <w:spacing w:line="360" w:lineRule="auto"/>
        <w:jc w:val="both"/>
      </w:pPr>
      <w:r>
        <w:rPr>
          <w:rFonts w:ascii="Arial" w:hAnsi="Arial"/>
          <w:b w:val="0"/>
          <w:i w:val="0"/>
          <w:sz w:val="28"/>
        </w:rPr>
        <w:t>El perjuicio es directo e inmediato: al ignorar en cuál porción normativa se apoyó la emisora, la parte actora no puede examinar si el acto provino de un órgano facultado para actuar en el lugar en que lo hizo, ni construir una defensa completa contra la multa; la incertidumbre sobre el fundamento competencial vicia el acto desde su origen.</w:t>
      </w:r>
    </w:p>
    <w:p>
      <w:pPr>
        <w:spacing w:line="360" w:lineRule="auto"/>
        <w:jc w:val="both"/>
      </w:pPr>
      <w:r>
        <w:rPr>
          <w:rFonts w:ascii="Arial" w:hAnsi="Arial"/>
          <w:b/>
          <w:sz w:val="28"/>
        </w:rPr>
        <w:t>III. Desarrollo doctrinal: la premisa mayor normativa.</w:t>
      </w:r>
    </w:p>
    <w:p>
      <w:pPr>
        <w:spacing w:line="360" w:lineRule="auto"/>
        <w:jc w:val="both"/>
      </w:pPr>
      <w:r>
        <w:rPr>
          <w:rFonts w:ascii="Arial" w:hAnsi="Arial"/>
          <w:b w:val="0"/>
          <w:i w:val="0"/>
          <w:sz w:val="28"/>
        </w:rPr>
        <w:t xml:space="preserve">El artículo 16, primer párrafo, de la Constitución Política de los Estados Unidos Mexicanos dispone que </w:t>
      </w:r>
      <w:r>
        <w:rPr>
          <w:rFonts w:ascii="Arial" w:hAnsi="Arial"/>
          <w:b w:val="0"/>
          <w:i/>
          <w:sz w:val="28"/>
        </w:rPr>
        <w:t>«nadie puede ser molestado en su persona, familia, domicilio, papeles o posesiones, sino en virtud de mandamiento escrito de la autoridad competente, que funde y motive la causa legal del procedimiento»</w:t>
      </w:r>
      <w:r>
        <w:rPr>
          <w:rFonts w:ascii="Arial" w:hAnsi="Arial"/>
          <w:b w:val="0"/>
          <w:i w:val="0"/>
          <w:sz w:val="28"/>
        </w:rPr>
        <w:t>. La competencia es, por tanto, el primer presupuesto de validez de todo acto de molestia: antes de discutir el fondo, la persona gobernada tiene derecho a saber quién la molesta y con qué facultades.</w:t>
      </w:r>
    </w:p>
    <w:p>
      <w:pPr>
        <w:spacing w:line="360" w:lineRule="auto"/>
        <w:jc w:val="both"/>
      </w:pPr>
      <w:r>
        <w:rPr>
          <w:rFonts w:ascii="Arial" w:hAnsi="Arial"/>
          <w:b w:val="0"/>
          <w:i w:val="0"/>
          <w:sz w:val="28"/>
        </w:rPr>
        <w:t xml:space="preserve">En congruencia con ese mandato, el artículo 38, fracción IV, del Código Fiscal de la Federación ordena que los actos administrativos que deban notificarse cumplan, entre otros requisitos, el de </w:t>
      </w:r>
      <w:r>
        <w:rPr>
          <w:rFonts w:ascii="Arial" w:hAnsi="Arial"/>
          <w:b w:val="0"/>
          <w:i/>
          <w:sz w:val="28"/>
        </w:rPr>
        <w:t>«estar fundado, motivado y expresar la resolución, objeto o propósito de que se trate»</w:t>
      </w:r>
      <w:r>
        <w:rPr>
          <w:rFonts w:ascii="Arial" w:hAnsi="Arial"/>
          <w:b w:val="0"/>
          <w:i w:val="0"/>
          <w:sz w:val="28"/>
        </w:rPr>
        <w:t xml:space="preserve">. La doctrina precisa que fundar y motivar significa expresar en la constancia documental del acto las normas jurídicas, las razones y los motivos que constituyen la </w:t>
      </w:r>
      <w:r>
        <w:rPr>
          <w:rFonts w:ascii="Arial" w:hAnsi="Arial"/>
          <w:b w:val="0"/>
          <w:i/>
          <w:sz w:val="28"/>
        </w:rPr>
        <w:t>«causa legal»</w:t>
      </w:r>
      <w:r>
        <w:rPr>
          <w:rFonts w:ascii="Arial" w:hAnsi="Arial"/>
          <w:b w:val="0"/>
          <w:i w:val="0"/>
          <w:sz w:val="28"/>
        </w:rPr>
        <w:t xml:space="preserve"> de la decisión de la autoridad.</w:t>
      </w:r>
      <w:r>
        <w:rPr>
          <w:rFonts w:ascii="Arial" w:hAnsi="Arial"/>
          <w:vertAlign w:val="superscript"/>
        </w:rPr>
        <w:t>1</w:t>
      </w:r>
    </w:p>
    <w:p>
      <w:pPr>
        <w:spacing w:line="360" w:lineRule="auto"/>
        <w:jc w:val="both"/>
      </w:pPr>
      <w:r>
        <w:rPr>
          <w:rFonts w:ascii="Arial" w:hAnsi="Arial"/>
          <w:b w:val="0"/>
          <w:i w:val="0"/>
          <w:sz w:val="28"/>
        </w:rPr>
        <w:t>Tratándose de la competencia, el estándar es reforzado. La doctrina de la argumentación jurisdiccional identifica, como operación indispensable en todo acto de molestia, la exactitud y la precisión en la cita de las normas legales que facultan a la autoridad administrativa, porque el valor jurídicamente protegido es la posibilidad de otorgar certeza y seguridad jurídica al particular frente a los actos del poder público.</w:t>
      </w:r>
      <w:r>
        <w:rPr>
          <w:rFonts w:ascii="Arial" w:hAnsi="Arial"/>
          <w:vertAlign w:val="superscript"/>
        </w:rPr>
        <w:t>2</w:t>
      </w:r>
    </w:p>
    <w:p>
      <w:pPr>
        <w:spacing w:line="360" w:lineRule="auto"/>
        <w:jc w:val="both"/>
      </w:pPr>
      <w:r>
        <w:rPr>
          <w:rFonts w:ascii="Arial" w:hAnsi="Arial"/>
          <w:b w:val="0"/>
          <w:i w:val="0"/>
          <w:sz w:val="28"/>
        </w:rPr>
        <w:t>Esa precisión no es un formalismo hueco. La competencia se distribuye por razón de materia, de grado y de territorio; esta última delimita la porción del espacio dentro de la cual la función pública puede desenvolverse válidamente, de manera que el órgano sólo actúa de modo lícito dentro del ámbito territorial que la norma le asigna.</w:t>
      </w:r>
      <w:r>
        <w:rPr>
          <w:rFonts w:ascii="Arial" w:hAnsi="Arial"/>
          <w:vertAlign w:val="superscript"/>
        </w:rPr>
        <w:t>3</w:t>
      </w:r>
    </w:p>
    <w:p>
      <w:pPr>
        <w:spacing w:line="360" w:lineRule="auto"/>
        <w:jc w:val="both"/>
      </w:pPr>
      <w:r>
        <w:rPr>
          <w:rFonts w:ascii="Arial" w:hAnsi="Arial"/>
          <w:b w:val="0"/>
          <w:i w:val="0"/>
          <w:sz w:val="28"/>
        </w:rPr>
        <w:t>Cuando el precepto invocado contiene varios supuestos —párrafos, apartados, fracciones, incisos o subincisos con hipótesis diferentes—, la debida fundamentación exige señalar con toda exactitud la porción aplicable. Si la autoridad se limita a citar el numeral de manera genérica, la persona gobernada ignora en cuál hipótesis pretendió colocarse aquélla, no puede confrontar su situación concreta con la norma y queda en estado de indefensión, pues ni siquiera está en aptitud de alegar que la actuación desbordó el ámbito competencial respectivo.</w:t>
      </w:r>
    </w:p>
    <w:p>
      <w:pPr>
        <w:spacing w:line="360" w:lineRule="auto"/>
        <w:jc w:val="both"/>
      </w:pPr>
      <w:r>
        <w:rPr>
          <w:rFonts w:ascii="Arial" w:hAnsi="Arial"/>
          <w:b w:val="0"/>
          <w:i w:val="0"/>
          <w:sz w:val="28"/>
        </w:rPr>
        <w:t>No es obstáculo que la autoridad pertenezca a una estructura estatal o desconcentrada: como lo ha reconocido la Sala en casos análogos, cuando un reglamento interior distingue, en porciones separadas, entre unidades administrativas que ejercen atribuciones en toda una entidad federativa y oficinas que sólo actúan dentro de la circunscripción fijada en un acuerdo, la autoridad emisora está obligada a identificar el párrafo que la faculta, pues cada porción describe un ámbito espacial distinto y no intercambiable.</w:t>
      </w:r>
    </w:p>
    <w:p>
      <w:pPr>
        <w:spacing w:line="360" w:lineRule="auto"/>
        <w:jc w:val="both"/>
      </w:pPr>
      <w:r>
        <w:rPr>
          <w:rFonts w:ascii="Arial" w:hAnsi="Arial"/>
          <w:b w:val="0"/>
          <w:i w:val="0"/>
          <w:sz w:val="28"/>
        </w:rPr>
        <w:t>La jerarquía de este requisito la confirma la propia mecánica del juicio contencioso administrativo federal: conforme al antepenúltimo párrafo del artículo 51 de la Ley Federal de Procedimiento Contencioso Administrativo, el tribunal puede examinar la incompetencia de la autoridad aun de oficio, por tratarse de una cuestión de orden público. Con mayor razón procede su estudio cuando la parte actora la plantea de manera destacada en un concepto de impugnación, como aquí ocurre.</w:t>
      </w:r>
    </w:p>
    <w:p>
      <w:pPr>
        <w:spacing w:line="360" w:lineRule="auto"/>
        <w:jc w:val="both"/>
      </w:pPr>
      <w:r>
        <w:rPr>
          <w:rFonts w:ascii="Arial" w:hAnsi="Arial"/>
          <w:b w:val="0"/>
          <w:i w:val="0"/>
          <w:sz w:val="28"/>
        </w:rPr>
        <w:t>La consecuencia también está tasada por la ley: la omisión de los requisitos formales exigidos por las leyes, cuando afecta las defensas del particular y trasciende al sentido de la resolución impugnada, actualiza la causal de ilegalidad del artículo 51, fracción II, del ordenamiento citado, y obliga a declarar la nulidad conforme a su artículo 52, fracción II.</w:t>
      </w:r>
    </w:p>
    <w:p>
      <w:pPr>
        <w:spacing w:line="360" w:lineRule="auto"/>
        <w:jc w:val="both"/>
      </w:pPr>
      <w:r>
        <w:rPr>
          <w:rFonts w:ascii="Arial" w:hAnsi="Arial"/>
          <w:b w:val="0"/>
          <w:i w:val="0"/>
          <w:sz w:val="28"/>
        </w:rPr>
        <w:t>Como también lo ha sostenido la Sala al resolver asuntos semejantes, cuando el vicio recae en la fundamentación de la competencia de la autoridad emisora, la nulidad procedente es lisa y llana y no para efectos, porque la sentencia no puede vincular a la autoridad a reiterar un acto cuya legitimidad de origen nunca quedó demostrada; la única salvedad se presenta cuando la resolución anulada recayó a una petición, instancia o recurso del particular, supuesto en el que debe ordenarse el dictado de una nueva resolución debidamente fundada.</w:t>
      </w:r>
    </w:p>
    <w:p>
      <w:pPr>
        <w:spacing w:line="360" w:lineRule="auto"/>
        <w:jc w:val="both"/>
      </w:pPr>
      <w:r>
        <w:rPr>
          <w:rFonts w:ascii="Arial" w:hAnsi="Arial"/>
          <w:b/>
          <w:sz w:val="28"/>
        </w:rPr>
        <w:t>IV. Aplicación al caso concreto y refutación de las defensas previsibles.</w:t>
      </w:r>
    </w:p>
    <w:p>
      <w:pPr>
        <w:spacing w:line="360" w:lineRule="auto"/>
        <w:jc w:val="both"/>
      </w:pPr>
      <w:r>
        <w:rPr>
          <w:rFonts w:ascii="Arial" w:hAnsi="Arial"/>
          <w:b w:val="0"/>
          <w:i w:val="0"/>
          <w:sz w:val="28"/>
        </w:rPr>
        <w:t xml:space="preserve">La premisa menor está acreditada con la propia resolución impugnada, documental que hace prueba plena de su contenido. En </w:t>
      </w:r>
      <w:r>
        <w:rPr>
          <w:rFonts w:ascii="Arial" w:hAnsi="Arial"/>
          <w:b/>
          <w:i w:val="0"/>
          <w:sz w:val="28"/>
        </w:rPr>
        <w:t>[FOJA DE LA RESOLUCIÓN DONDE OBRA LA CITA DE COMPETENCIA]</w:t>
      </w:r>
      <w:r>
        <w:rPr>
          <w:rFonts w:ascii="Arial" w:hAnsi="Arial"/>
          <w:b w:val="0"/>
          <w:i w:val="0"/>
          <w:sz w:val="28"/>
        </w:rPr>
        <w:t xml:space="preserve"> consta que la </w:t>
      </w:r>
      <w:r>
        <w:rPr>
          <w:rFonts w:ascii="Arial" w:hAnsi="Arial"/>
          <w:b/>
          <w:i w:val="0"/>
          <w:sz w:val="28"/>
        </w:rPr>
        <w:t>[AUTORIDAD DEMANDADA]</w:t>
      </w:r>
      <w:r>
        <w:rPr>
          <w:rFonts w:ascii="Arial" w:hAnsi="Arial"/>
          <w:b w:val="0"/>
          <w:i w:val="0"/>
          <w:sz w:val="28"/>
        </w:rPr>
        <w:t xml:space="preserve"> invocó </w:t>
      </w:r>
      <w:r>
        <w:rPr>
          <w:rFonts w:ascii="Arial" w:hAnsi="Arial"/>
          <w:b/>
          <w:i w:val="0"/>
          <w:sz w:val="28"/>
        </w:rPr>
        <w:t>[PRECEPTOS INVOCADOS PARA FUNDAR LA COMPETENCIA]</w:t>
      </w:r>
      <w:r>
        <w:rPr>
          <w:rFonts w:ascii="Arial" w:hAnsi="Arial"/>
          <w:b w:val="0"/>
          <w:i w:val="0"/>
          <w:sz w:val="28"/>
        </w:rPr>
        <w:t xml:space="preserve">; dentro de esa cadena aparece el </w:t>
      </w:r>
      <w:r>
        <w:rPr>
          <w:rFonts w:ascii="Arial" w:hAnsi="Arial"/>
          <w:b/>
          <w:i w:val="0"/>
          <w:sz w:val="28"/>
        </w:rPr>
        <w:t>[ARTÍCULO QUE CONTIENE VARIOS SUPUESTOS]</w:t>
      </w:r>
      <w:r>
        <w:rPr>
          <w:rFonts w:ascii="Arial" w:hAnsi="Arial"/>
          <w:b w:val="0"/>
          <w:i w:val="0"/>
          <w:sz w:val="28"/>
        </w:rPr>
        <w:t>, que prevé hipótesis normativas diferenciadas, y la autoridad no identificó cuál de ellas ejercía.</w:t>
      </w:r>
    </w:p>
    <w:p>
      <w:pPr>
        <w:spacing w:line="360" w:lineRule="auto"/>
        <w:jc w:val="both"/>
      </w:pPr>
      <w:r>
        <w:rPr>
          <w:rFonts w:ascii="Arial" w:hAnsi="Arial"/>
          <w:b w:val="0"/>
          <w:i w:val="0"/>
          <w:sz w:val="28"/>
        </w:rPr>
        <w:t xml:space="preserve">La porción que, en su caso, resultaría aplicable a la situación de la parte actora es </w:t>
      </w:r>
      <w:r>
        <w:rPr>
          <w:rFonts w:ascii="Arial" w:hAnsi="Arial"/>
          <w:b/>
          <w:i w:val="0"/>
          <w:sz w:val="28"/>
        </w:rPr>
        <w:t>[PORCIÓN NORMATIVA EXACTAMENTE APLICABLE]</w:t>
      </w:r>
      <w:r>
        <w:rPr>
          <w:rFonts w:ascii="Arial" w:hAnsi="Arial"/>
          <w:b w:val="0"/>
          <w:i w:val="0"/>
          <w:sz w:val="28"/>
        </w:rPr>
        <w:t>; sin embargo, no corresponde a la persona gobernada adivinarla ni reconstruirla: la carga de precisión pesa sobre la autoridad, porque el acto de molestia debe bastarse a sí mismo. Subsumido el hecho en la norma, la conclusión es inevitable: la multa se emitió sin la debida fundamentación de la competencia territorial, en contravención de los artículos 16, primer párrafo, constitucional y 38, fracción IV, del Código Fiscal de la Federación.</w:t>
      </w:r>
    </w:p>
    <w:p>
      <w:pPr>
        <w:spacing w:line="360" w:lineRule="auto"/>
        <w:jc w:val="both"/>
      </w:pPr>
      <w:r>
        <w:rPr>
          <w:rFonts w:ascii="Arial" w:hAnsi="Arial"/>
          <w:b w:val="0"/>
          <w:i w:val="0"/>
          <w:sz w:val="28"/>
        </w:rPr>
        <w:t>El defecto se agrava si la emisora invoca, como refuerzo, acuerdos de circunscripción territorial que en realidad regulan a órganos diversos: la cita de preceptos que facultan a oficinas o unidades distintas de la firmante nada fundamenta respecto de ella, pues la fundamentación competencial es propia del órgano actuante y no se transmite entre autoridades de una misma estructura.</w:t>
      </w:r>
    </w:p>
    <w:p>
      <w:pPr>
        <w:spacing w:line="360" w:lineRule="auto"/>
        <w:jc w:val="both"/>
      </w:pPr>
      <w:r>
        <w:rPr>
          <w:rFonts w:ascii="Arial" w:hAnsi="Arial"/>
          <w:b w:val="0"/>
          <w:i w:val="0"/>
          <w:sz w:val="28"/>
        </w:rPr>
        <w:t xml:space="preserve">Conviene desmontar desde ahora la primera defensa previsible de la demandada: sostener que la cita íntegra del numeral basta, porque </w:t>
      </w:r>
      <w:r>
        <w:rPr>
          <w:rFonts w:ascii="Arial" w:hAnsi="Arial"/>
          <w:b w:val="0"/>
          <w:i/>
          <w:sz w:val="28"/>
        </w:rPr>
        <w:t>«el artículo sí fue invocado»</w:t>
      </w:r>
      <w:r>
        <w:rPr>
          <w:rFonts w:ascii="Arial" w:hAnsi="Arial"/>
          <w:b w:val="0"/>
          <w:i w:val="0"/>
          <w:sz w:val="28"/>
        </w:rPr>
        <w:t>. Ese razonamiento incurre en la falacia non sequitur, denominación genérica de los argumentos en los que la conclusión no se sigue de las premisas.</w:t>
      </w:r>
      <w:r>
        <w:rPr>
          <w:rFonts w:ascii="Arial" w:hAnsi="Arial"/>
          <w:vertAlign w:val="superscript"/>
        </w:rPr>
        <w:t>4</w:t>
      </w:r>
    </w:p>
    <w:p>
      <w:pPr>
        <w:spacing w:line="360" w:lineRule="auto"/>
        <w:jc w:val="both"/>
      </w:pPr>
      <w:r>
        <w:rPr>
          <w:rFonts w:ascii="Arial" w:hAnsi="Arial"/>
          <w:b w:val="0"/>
          <w:i w:val="0"/>
          <w:sz w:val="28"/>
        </w:rPr>
        <w:t xml:space="preserve">En efecto, de la premisa </w:t>
      </w:r>
      <w:r>
        <w:rPr>
          <w:rFonts w:ascii="Arial" w:hAnsi="Arial"/>
          <w:b w:val="0"/>
          <w:i/>
          <w:sz w:val="28"/>
        </w:rPr>
        <w:t>«cité el artículo»</w:t>
      </w:r>
      <w:r>
        <w:rPr>
          <w:rFonts w:ascii="Arial" w:hAnsi="Arial"/>
          <w:b w:val="0"/>
          <w:i w:val="0"/>
          <w:sz w:val="28"/>
        </w:rPr>
        <w:t xml:space="preserve"> no se deduce la conclusión </w:t>
      </w:r>
      <w:r>
        <w:rPr>
          <w:rFonts w:ascii="Arial" w:hAnsi="Arial"/>
          <w:b w:val="0"/>
          <w:i/>
          <w:sz w:val="28"/>
        </w:rPr>
        <w:t>«fundé la porción exactamente aplicable»</w:t>
      </w:r>
      <w:r>
        <w:rPr>
          <w:rFonts w:ascii="Arial" w:hAnsi="Arial"/>
          <w:b w:val="0"/>
          <w:i w:val="0"/>
          <w:sz w:val="28"/>
        </w:rPr>
        <w:t>: como el numeral abriga hipótesis diversas, la sola mención global deja indeterminado el supuesto ejercido, que es precisamente lo que la garantía de fundamentación obliga a determinar. El salto lógico entre citar y fundar es el corazón del vicio, y ninguna cantidad de preceptos adicionales lo subsana si ninguno precisa el ámbito territorial ejercido.</w:t>
      </w:r>
    </w:p>
    <w:p>
      <w:pPr>
        <w:spacing w:line="360" w:lineRule="auto"/>
        <w:jc w:val="both"/>
      </w:pPr>
      <w:r>
        <w:rPr>
          <w:rFonts w:ascii="Arial" w:hAnsi="Arial"/>
          <w:b w:val="0"/>
          <w:i w:val="0"/>
          <w:sz w:val="28"/>
        </w:rPr>
        <w:t xml:space="preserve">Tampoco sería admisible que la contestación desplazara la litis hacia la competencia material, alegando que la </w:t>
      </w:r>
      <w:r>
        <w:rPr>
          <w:rFonts w:ascii="Arial" w:hAnsi="Arial"/>
          <w:b/>
          <w:i w:val="0"/>
          <w:sz w:val="28"/>
        </w:rPr>
        <w:t>[AUTORIDAD DEMANDADA]</w:t>
      </w:r>
      <w:r>
        <w:rPr>
          <w:rFonts w:ascii="Arial" w:hAnsi="Arial"/>
          <w:b w:val="0"/>
          <w:i w:val="0"/>
          <w:sz w:val="28"/>
        </w:rPr>
        <w:t xml:space="preserve"> sí cuenta con facultades para imponer multas. Ese movimiento configura la falacia del hombre de paja, que ataca una tesis sólo después de alterarla, disfrazando la posición del contrincante con el ropaje que mejor conviene al refutador.</w:t>
      </w:r>
      <w:r>
        <w:rPr>
          <w:rFonts w:ascii="Arial" w:hAnsi="Arial"/>
          <w:vertAlign w:val="superscript"/>
        </w:rPr>
        <w:t>5</w:t>
      </w:r>
    </w:p>
    <w:p>
      <w:pPr>
        <w:spacing w:line="360" w:lineRule="auto"/>
        <w:jc w:val="both"/>
      </w:pPr>
      <w:r>
        <w:rPr>
          <w:rFonts w:ascii="Arial" w:hAnsi="Arial"/>
          <w:b w:val="0"/>
          <w:i w:val="0"/>
          <w:sz w:val="28"/>
        </w:rPr>
        <w:t>Este concepto no niega la existencia de facultades sancionadoras en abstracto; denuncia que la autoridad no fundó con precisión el ámbito espacial dentro del cual podía ejercerlas contra la parte actora. Responder a un argumento distinto del planteado dejaría intocada la litis efectiva y, con ella, el vicio denunciado.</w:t>
      </w:r>
    </w:p>
    <w:p>
      <w:pPr>
        <w:spacing w:line="360" w:lineRule="auto"/>
        <w:jc w:val="both"/>
      </w:pPr>
      <w:r>
        <w:rPr>
          <w:rFonts w:ascii="Arial" w:hAnsi="Arial"/>
          <w:b w:val="0"/>
          <w:i w:val="0"/>
          <w:sz w:val="28"/>
        </w:rPr>
        <w:t>Y si la demandada pretendiera validar la multa afirmando, sin más, que proviene de autoridad competente, incurriría en petición de principio, falacia que consiste en tomar como prueba de una conclusión a la conclusión misma, de modo que premisas y conclusión dicen lo mismo con distintas palabras.</w:t>
      </w:r>
      <w:r>
        <w:rPr>
          <w:rFonts w:ascii="Arial" w:hAnsi="Arial"/>
          <w:vertAlign w:val="superscript"/>
        </w:rPr>
        <w:t>6</w:t>
      </w:r>
    </w:p>
    <w:p>
      <w:pPr>
        <w:spacing w:line="360" w:lineRule="auto"/>
        <w:jc w:val="both"/>
      </w:pPr>
      <w:r>
        <w:rPr>
          <w:rFonts w:ascii="Arial" w:hAnsi="Arial"/>
          <w:b w:val="0"/>
          <w:i w:val="0"/>
          <w:sz w:val="28"/>
        </w:rPr>
        <w:t>La competencia no se presume a partir de la investidura de quien firma: debe constar en el propio texto del acto, mediante la cita puntual de los preceptos que la otorgan y de sus porciones exactamente aplicables. Dar por demostrado lo que debía fundarse equivale a no fundar nada, y deja a la persona gobernada en la misma incertidumbre que la garantía constitucional busca erradicar.</w:t>
      </w:r>
    </w:p>
    <w:p>
      <w:pPr>
        <w:spacing w:line="360" w:lineRule="auto"/>
        <w:jc w:val="both"/>
      </w:pPr>
      <w:r>
        <w:rPr>
          <w:rFonts w:ascii="Arial" w:hAnsi="Arial"/>
          <w:b w:val="0"/>
          <w:i w:val="0"/>
          <w:sz w:val="28"/>
        </w:rPr>
        <w:t xml:space="preserve">El vicio, además, afecta las defensas de la parte actora y trasciende al sentido de la resolución: sin la porción normativa exacta no existe modo de saber, con el solo texto del acto, si la </w:t>
      </w:r>
      <w:r>
        <w:rPr>
          <w:rFonts w:ascii="Arial" w:hAnsi="Arial"/>
          <w:b/>
          <w:i w:val="0"/>
          <w:sz w:val="28"/>
        </w:rPr>
        <w:t>[AUTORIDAD DEMANDADA]</w:t>
      </w:r>
      <w:r>
        <w:rPr>
          <w:rFonts w:ascii="Arial" w:hAnsi="Arial"/>
          <w:b w:val="0"/>
          <w:i w:val="0"/>
          <w:sz w:val="28"/>
        </w:rPr>
        <w:t xml:space="preserve"> podía actuar válidamente en el lugar en que actuó; la multa descansa así sobre un presupuesto de validez indemostrado, y ese defecto contamina todo lo decidido, incluido el monto de </w:t>
      </w:r>
      <w:r>
        <w:rPr>
          <w:rFonts w:ascii="Arial" w:hAnsi="Arial"/>
          <w:b/>
          <w:i w:val="0"/>
          <w:sz w:val="28"/>
        </w:rPr>
        <w:t>[MONTO DE LA MULTA]</w:t>
      </w:r>
      <w:r>
        <w:rPr>
          <w:rFonts w:ascii="Arial" w:hAnsi="Arial"/>
          <w:b w:val="0"/>
          <w:i w:val="0"/>
          <w:sz w:val="28"/>
        </w:rPr>
        <w:t>.</w:t>
      </w:r>
    </w:p>
    <w:p>
      <w:pPr>
        <w:spacing w:line="360" w:lineRule="auto"/>
        <w:jc w:val="both"/>
      </w:pPr>
      <w:r>
        <w:rPr>
          <w:rFonts w:ascii="Arial" w:hAnsi="Arial"/>
          <w:b w:val="0"/>
          <w:i w:val="0"/>
          <w:sz w:val="28"/>
        </w:rPr>
        <w:t>Para acreditar lo anterior se ofrece como prueba la propia resolución impugnada y su constancia de notificación, documentales que se acompañan a esta demanda y cuyo contenido proviene de la autoridad demandada, por lo que su alcance probatorio no admite duda en cuanto a los preceptos que ahí se citaron y a los que se dejaron de precisar.</w:t>
      </w:r>
    </w:p>
    <w:p>
      <w:pPr>
        <w:spacing w:line="360" w:lineRule="auto"/>
        <w:jc w:val="both"/>
      </w:pPr>
      <w:r>
        <w:rPr>
          <w:rFonts w:ascii="Arial" w:hAnsi="Arial"/>
          <w:b/>
          <w:sz w:val="28"/>
        </w:rPr>
        <w:t>V. Conclusión y petición parcial.</w:t>
      </w:r>
    </w:p>
    <w:p>
      <w:pPr>
        <w:spacing w:line="360" w:lineRule="auto"/>
        <w:jc w:val="both"/>
      </w:pPr>
      <w:r>
        <w:rPr>
          <w:rFonts w:ascii="Arial" w:hAnsi="Arial"/>
          <w:b w:val="0"/>
          <w:i w:val="0"/>
          <w:sz w:val="28"/>
        </w:rPr>
        <w:t>En suma: la premisa mayor exige que el acto de molestia cite con exactitud la porción normativa que confiere competencia territorial a su emisora; la premisa menor acredita que la autoridad invocó un precepto de hipótesis múltiples sin precisar la aplicable; la conclusión es que la resolución impugnada nació viciada en un presupuesto esencial de validez, lo que actualiza la causal de ilegalidad del artículo 51, fracción II, de la Ley Federal de Procedimiento Contencioso Administrativo.</w:t>
      </w:r>
    </w:p>
    <w:p>
      <w:pPr>
        <w:spacing w:line="360" w:lineRule="auto"/>
        <w:jc w:val="both"/>
      </w:pPr>
      <w:r>
        <w:rPr>
          <w:rFonts w:ascii="Arial" w:hAnsi="Arial"/>
          <w:b w:val="0"/>
          <w:i w:val="0"/>
          <w:sz w:val="28"/>
        </w:rPr>
        <w:t xml:space="preserve">Por lo expuesto, se solicita a esa </w:t>
      </w:r>
      <w:r>
        <w:rPr>
          <w:rFonts w:ascii="Arial" w:hAnsi="Arial"/>
          <w:b/>
          <w:i w:val="0"/>
          <w:sz w:val="28"/>
        </w:rPr>
        <w:t>[SALA REGIONAL COMPETENTE]</w:t>
      </w:r>
      <w:r>
        <w:rPr>
          <w:rFonts w:ascii="Arial" w:hAnsi="Arial"/>
          <w:b w:val="0"/>
          <w:i w:val="0"/>
          <w:sz w:val="28"/>
        </w:rPr>
        <w:t xml:space="preserve"> declarar fundado el presente concepto de impugnación y, con apoyo en el artículo 52, fracción II, de la ley citada, decretar la nulidad lisa y llana de la resolución con número de folio </w:t>
      </w:r>
      <w:r>
        <w:rPr>
          <w:rFonts w:ascii="Arial" w:hAnsi="Arial"/>
          <w:b/>
          <w:i w:val="0"/>
          <w:sz w:val="28"/>
        </w:rPr>
        <w:t>[NÚMERO DE FOLIO DE LA RESOLUCIÓN IMPUGNADA]</w:t>
      </w:r>
      <w:r>
        <w:rPr>
          <w:rFonts w:ascii="Arial" w:hAnsi="Arial"/>
          <w:b w:val="0"/>
          <w:i w:val="0"/>
          <w:sz w:val="28"/>
        </w:rPr>
        <w:t xml:space="preserve">, sin vincular a la autoridad demandada a emitir un nuevo acto; únicamente en el supuesto de que la resolución hubiere recaído a una petición, instancia o recurso de </w:t>
      </w:r>
      <w:r>
        <w:rPr>
          <w:rFonts w:ascii="Arial" w:hAnsi="Arial"/>
          <w:b/>
          <w:i w:val="0"/>
          <w:sz w:val="28"/>
        </w:rPr>
        <w:t>[NOMBRE DE LA PARTE ACTORA]</w:t>
      </w:r>
      <w:r>
        <w:rPr>
          <w:rFonts w:ascii="Arial" w:hAnsi="Arial"/>
          <w:b w:val="0"/>
          <w:i w:val="0"/>
          <w:sz w:val="28"/>
        </w:rPr>
        <w:t>, se pide ordenar el dictado de una nueva resolución que subsane la fundamentación omitida.</w:t>
      </w:r>
    </w:p>
    <w:p/>
    <w:p>
      <w:r>
        <w:rPr>
          <w:rFonts w:ascii="Arial" w:hAnsi="Arial"/>
          <w:b/>
          <w:sz w:val="22"/>
        </w:rPr>
        <w:t>NOTAS</w:t>
      </w:r>
    </w:p>
    <w:p>
      <w:pPr>
        <w:spacing w:after="60"/>
        <w:ind w:left="360" w:hanging="360"/>
        <w:jc w:val="both"/>
      </w:pPr>
      <w:r>
        <w:rPr>
          <w:rFonts w:ascii="Arial" w:hAnsi="Arial"/>
          <w:sz w:val="20"/>
          <w:vertAlign w:val="superscript"/>
        </w:rPr>
        <w:t>1</w:t>
      </w:r>
      <w:r>
        <w:rPr>
          <w:sz w:val="20"/>
        </w:rPr>
        <w:t xml:space="preserve"> </w:t>
      </w:r>
      <w:r>
        <w:rPr>
          <w:rFonts w:ascii="Arial" w:hAnsi="Arial"/>
          <w:i w:val="0"/>
          <w:sz w:val="20"/>
        </w:rPr>
        <w:t xml:space="preserve">SÁNCHEZ GIL, Rubén, </w:t>
      </w:r>
      <w:r>
        <w:rPr>
          <w:rFonts w:ascii="Arial" w:hAnsi="Arial"/>
          <w:i/>
          <w:sz w:val="20"/>
        </w:rPr>
        <w:t>El principio de proporcionalidad</w:t>
      </w:r>
      <w:r>
        <w:rPr>
          <w:rFonts w:ascii="Arial" w:hAnsi="Arial"/>
          <w:i w:val="0"/>
          <w:sz w:val="20"/>
        </w:rPr>
        <w:t>, Universidad Nacional Autónoma de México, México, 2007, p. 68.</w:t>
      </w:r>
    </w:p>
    <w:p>
      <w:pPr>
        <w:spacing w:after="60"/>
        <w:ind w:left="360" w:hanging="360"/>
        <w:jc w:val="both"/>
      </w:pPr>
      <w:r>
        <w:rPr>
          <w:rFonts w:ascii="Arial" w:hAnsi="Arial"/>
          <w:sz w:val="20"/>
          <w:vertAlign w:val="superscript"/>
        </w:rPr>
        <w:t>2</w:t>
      </w:r>
      <w:r>
        <w:rPr>
          <w:sz w:val="20"/>
        </w:rPr>
        <w:t xml:space="preserve"> </w:t>
      </w:r>
      <w:r>
        <w:rPr>
          <w:rFonts w:ascii="Arial" w:hAnsi="Arial"/>
          <w:i w:val="0"/>
          <w:sz w:val="20"/>
        </w:rPr>
        <w:t xml:space="preserve">DEHESA DÁVILA, Gerardo, </w:t>
      </w:r>
      <w:r>
        <w:rPr>
          <w:rFonts w:ascii="Arial" w:hAnsi="Arial"/>
          <w:i/>
          <w:sz w:val="20"/>
        </w:rPr>
        <w:t>Introducción a la retórica y la argumentación. Elementos de retórica y argumentación para perfeccionar y optimizar el ejercicio de la función jurisdiccional</w:t>
      </w:r>
      <w:r>
        <w:rPr>
          <w:rFonts w:ascii="Arial" w:hAnsi="Arial"/>
          <w:i w:val="0"/>
          <w:sz w:val="20"/>
        </w:rPr>
        <w:t>, 6ª ed., Suprema Corte de Justicia de la Nación, Dirección General de la Coordinación de Compilación y Sistematización de Tesis, México, 2010, p. 209.</w:t>
      </w:r>
    </w:p>
    <w:p>
      <w:pPr>
        <w:spacing w:after="60"/>
        <w:ind w:left="360" w:hanging="360"/>
        <w:jc w:val="both"/>
      </w:pPr>
      <w:r>
        <w:rPr>
          <w:rFonts w:ascii="Arial" w:hAnsi="Arial"/>
          <w:sz w:val="20"/>
          <w:vertAlign w:val="superscript"/>
        </w:rPr>
        <w:t>3</w:t>
      </w:r>
      <w:r>
        <w:rPr>
          <w:sz w:val="20"/>
        </w:rPr>
        <w:t xml:space="preserve"> </w:t>
      </w:r>
      <w:r>
        <w:rPr>
          <w:rFonts w:ascii="Arial" w:hAnsi="Arial"/>
          <w:i w:val="0"/>
          <w:sz w:val="20"/>
        </w:rPr>
        <w:t xml:space="preserve">FERRER MAC-GREGOR, Eduardo et al. (coord.), </w:t>
      </w:r>
      <w:r>
        <w:rPr>
          <w:rFonts w:ascii="Arial" w:hAnsi="Arial"/>
          <w:i/>
          <w:sz w:val="20"/>
        </w:rPr>
        <w:t>Diccionario de derecho procesal constitucional y convencional</w:t>
      </w:r>
      <w:r>
        <w:rPr>
          <w:rFonts w:ascii="Arial" w:hAnsi="Arial"/>
          <w:i w:val="0"/>
          <w:sz w:val="20"/>
        </w:rPr>
        <w:t>, 3ª ed., Querétaro, México, 2021, p. 281.</w:t>
      </w:r>
    </w:p>
    <w:p>
      <w:pPr>
        <w:spacing w:after="60"/>
        <w:ind w:left="360" w:hanging="360"/>
        <w:jc w:val="both"/>
      </w:pPr>
      <w:r>
        <w:rPr>
          <w:rFonts w:ascii="Arial" w:hAnsi="Arial"/>
          <w:sz w:val="20"/>
          <w:vertAlign w:val="superscript"/>
        </w:rPr>
        <w:t>4</w:t>
      </w:r>
      <w:r>
        <w:rPr>
          <w:sz w:val="20"/>
        </w:rPr>
        <w:t xml:space="preserve"> </w:t>
      </w:r>
      <w:r>
        <w:rPr>
          <w:rFonts w:ascii="Arial" w:hAnsi="Arial"/>
          <w:i w:val="0"/>
          <w:sz w:val="20"/>
        </w:rPr>
        <w:t xml:space="preserve">GARCÍA DAMBORENEA, Ricardo, </w:t>
      </w:r>
      <w:r>
        <w:rPr>
          <w:rFonts w:ascii="Arial" w:hAnsi="Arial"/>
          <w:i/>
          <w:sz w:val="20"/>
        </w:rPr>
        <w:t>Diccionario de falacias</w:t>
      </w:r>
      <w:r>
        <w:rPr>
          <w:rFonts w:ascii="Arial" w:hAnsi="Arial"/>
          <w:i w:val="0"/>
          <w:sz w:val="20"/>
        </w:rPr>
        <w:t>, s. f., p. 64.</w:t>
      </w:r>
    </w:p>
    <w:p>
      <w:pPr>
        <w:spacing w:after="60"/>
        <w:ind w:left="360" w:hanging="360"/>
        <w:jc w:val="both"/>
      </w:pPr>
      <w:r>
        <w:rPr>
          <w:rFonts w:ascii="Arial" w:hAnsi="Arial"/>
          <w:sz w:val="20"/>
          <w:vertAlign w:val="superscript"/>
        </w:rPr>
        <w:t>5</w:t>
      </w:r>
      <w:r>
        <w:rPr>
          <w:sz w:val="20"/>
        </w:rPr>
        <w:t xml:space="preserve"> </w:t>
      </w:r>
      <w:r>
        <w:rPr>
          <w:rFonts w:ascii="Arial" w:hAnsi="Arial"/>
          <w:i w:val="0"/>
          <w:sz w:val="20"/>
        </w:rPr>
        <w:t>GARCÍA DAMBORENEA, op. cit.</w:t>
      </w:r>
      <w:r>
        <w:rPr>
          <w:rFonts w:ascii="Arial" w:hAnsi="Arial"/>
          <w:i w:val="0"/>
          <w:sz w:val="20"/>
        </w:rPr>
        <w:t>, p. 60.</w:t>
      </w:r>
    </w:p>
    <w:p>
      <w:pPr>
        <w:spacing w:after="60"/>
        <w:ind w:left="360" w:hanging="360"/>
        <w:jc w:val="both"/>
      </w:pPr>
      <w:r>
        <w:rPr>
          <w:rFonts w:ascii="Arial" w:hAnsi="Arial"/>
          <w:sz w:val="20"/>
          <w:vertAlign w:val="superscript"/>
        </w:rPr>
        <w:t>6</w:t>
      </w:r>
      <w:r>
        <w:rPr>
          <w:sz w:val="20"/>
        </w:rPr>
        <w:t xml:space="preserve"> </w:t>
      </w:r>
      <w:r>
        <w:rPr>
          <w:rFonts w:ascii="Arial" w:hAnsi="Arial"/>
          <w:i w:val="0"/>
          <w:sz w:val="20"/>
        </w:rPr>
        <w:t xml:space="preserve">FERNÁNDEZ RUIZ, Graciela, </w:t>
      </w:r>
      <w:r>
        <w:rPr>
          <w:rFonts w:ascii="Arial" w:hAnsi="Arial"/>
          <w:i/>
          <w:sz w:val="20"/>
        </w:rPr>
        <w:t>Argumentación y lenguaje jurídico. Aplicación al análisis de una sentencia de la Suprema Corte de Justicia de la Nación</w:t>
      </w:r>
      <w:r>
        <w:rPr>
          <w:rFonts w:ascii="Arial" w:hAnsi="Arial"/>
          <w:i w:val="0"/>
          <w:sz w:val="20"/>
        </w:rPr>
        <w:t>, 2ª ed., Universidad Nacional Autónoma de México, Instituto de Investigaciones Jurídicas, México, 2017, p. 63.</w:t>
      </w:r>
    </w:p>
    <w:p/>
    <w:p>
      <w:r>
        <w:rPr>
          <w:rFonts w:ascii="Arial" w:hAnsi="Arial"/>
          <w:b/>
          <w:sz w:val="22"/>
        </w:rPr>
        <w:t>BIBLIOGRAFÍA</w:t>
      </w:r>
    </w:p>
    <w:p>
      <w:pPr>
        <w:spacing w:after="60"/>
        <w:ind w:left="360" w:hanging="360"/>
        <w:jc w:val="both"/>
      </w:pPr>
      <w:r>
        <w:rPr>
          <w:rFonts w:ascii="Arial" w:hAnsi="Arial"/>
          <w:i w:val="0"/>
          <w:sz w:val="20"/>
        </w:rPr>
        <w:t xml:space="preserve">DEHESA DÁVILA, Gerardo, </w:t>
      </w:r>
      <w:r>
        <w:rPr>
          <w:rFonts w:ascii="Arial" w:hAnsi="Arial"/>
          <w:i/>
          <w:sz w:val="20"/>
        </w:rPr>
        <w:t>Introducción a la retórica y la argumentación. Elementos de retórica y argumentación para perfeccionar y optimizar el ejercicio de la función jurisdiccional</w:t>
      </w:r>
      <w:r>
        <w:rPr>
          <w:rFonts w:ascii="Arial" w:hAnsi="Arial"/>
          <w:i w:val="0"/>
          <w:sz w:val="20"/>
        </w:rPr>
        <w:t>, 6ª ed., Suprema Corte de Justicia de la Nación, Dirección General de la Coordinación de Compilación y Sistematización de Tesis, México, 2010.</w:t>
      </w:r>
    </w:p>
    <w:p>
      <w:pPr>
        <w:spacing w:after="60"/>
        <w:ind w:left="360" w:hanging="360"/>
        <w:jc w:val="both"/>
      </w:pPr>
      <w:r>
        <w:rPr>
          <w:rFonts w:ascii="Arial" w:hAnsi="Arial"/>
          <w:i w:val="0"/>
          <w:sz w:val="20"/>
        </w:rPr>
        <w:t xml:space="preserve">FERNÁNDEZ RUIZ, Graciela, </w:t>
      </w:r>
      <w:r>
        <w:rPr>
          <w:rFonts w:ascii="Arial" w:hAnsi="Arial"/>
          <w:i/>
          <w:sz w:val="20"/>
        </w:rPr>
        <w:t>Argumentación y lenguaje jurídico. Aplicación al análisis de una sentencia de la Suprema Corte de Justicia de la Nación</w:t>
      </w:r>
      <w:r>
        <w:rPr>
          <w:rFonts w:ascii="Arial" w:hAnsi="Arial"/>
          <w:i w:val="0"/>
          <w:sz w:val="20"/>
        </w:rPr>
        <w:t>, 2ª ed., Universidad Nacional Autónoma de México, Instituto de Investigaciones Jurídicas, México, 2017.</w:t>
      </w:r>
    </w:p>
    <w:p>
      <w:pPr>
        <w:spacing w:after="60"/>
        <w:ind w:left="360" w:hanging="360"/>
        <w:jc w:val="both"/>
      </w:pPr>
      <w:r>
        <w:rPr>
          <w:rFonts w:ascii="Arial" w:hAnsi="Arial"/>
          <w:i w:val="0"/>
          <w:sz w:val="20"/>
        </w:rPr>
        <w:t xml:space="preserve">FERRER MAC-GREGOR, Eduardo et al. (coord.), </w:t>
      </w:r>
      <w:r>
        <w:rPr>
          <w:rFonts w:ascii="Arial" w:hAnsi="Arial"/>
          <w:i/>
          <w:sz w:val="20"/>
        </w:rPr>
        <w:t>Diccionario de derecho procesal constitucional y convencional</w:t>
      </w:r>
      <w:r>
        <w:rPr>
          <w:rFonts w:ascii="Arial" w:hAnsi="Arial"/>
          <w:i w:val="0"/>
          <w:sz w:val="20"/>
        </w:rPr>
        <w:t>, 3ª ed., Querétaro, México, 2021.</w:t>
      </w:r>
    </w:p>
    <w:p>
      <w:pPr>
        <w:spacing w:after="60"/>
        <w:ind w:left="360" w:hanging="360"/>
        <w:jc w:val="both"/>
      </w:pPr>
      <w:r>
        <w:rPr>
          <w:rFonts w:ascii="Arial" w:hAnsi="Arial"/>
          <w:i w:val="0"/>
          <w:sz w:val="20"/>
        </w:rPr>
        <w:t xml:space="preserve">GARCÍA DAMBORENEA, Ricardo, </w:t>
      </w:r>
      <w:r>
        <w:rPr>
          <w:rFonts w:ascii="Arial" w:hAnsi="Arial"/>
          <w:i/>
          <w:sz w:val="20"/>
        </w:rPr>
        <w:t>Diccionario de falacias</w:t>
      </w:r>
      <w:r>
        <w:rPr>
          <w:rFonts w:ascii="Arial" w:hAnsi="Arial"/>
          <w:i w:val="0"/>
          <w:sz w:val="20"/>
        </w:rPr>
        <w:t>, s. f.</w:t>
      </w:r>
    </w:p>
    <w:p>
      <w:pPr>
        <w:spacing w:after="60"/>
        <w:ind w:left="360" w:hanging="360"/>
        <w:jc w:val="both"/>
      </w:pPr>
      <w:r>
        <w:rPr>
          <w:rFonts w:ascii="Arial" w:hAnsi="Arial"/>
          <w:i w:val="0"/>
          <w:sz w:val="20"/>
        </w:rPr>
        <w:t xml:space="preserve">SÁNCHEZ GIL, Rubén, </w:t>
      </w:r>
      <w:r>
        <w:rPr>
          <w:rFonts w:ascii="Arial" w:hAnsi="Arial"/>
          <w:i/>
          <w:sz w:val="20"/>
        </w:rPr>
        <w:t>El principio de proporcionalidad</w:t>
      </w:r>
      <w:r>
        <w:rPr>
          <w:rFonts w:ascii="Arial" w:hAnsi="Arial"/>
          <w:i w:val="0"/>
          <w:sz w:val="20"/>
        </w:rPr>
        <w:t>, Universidad Nacional Autónoma de México, México, 2007.</w:t>
      </w:r>
    </w:p>
    <w:sectPr w:rsidR="00FC693F" w:rsidRPr="0006063C" w:rsidSect="00034616">
      <w:footerReference w:type="default" r:id="rId9"/>
      <w:pgSz w:w="12246" w:h="19276"/>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20"/>
      </w:rPr>
      <w:t xml:space="preserve">Página </w:t>
    </w:r>
    <w:r>
      <w:rPr>
        <w:rFonts w:ascii="Arial" w:hAnsi="Arial"/>
        <w:sz w:val="20"/>
      </w:rPr>
      <w:fldChar w:fldCharType="begin"/>
      <w:instrText xml:space="preserve">PAGE</w:instrText>
      <w:fldChar w:fldCharType="end"/>
    </w:r>
    <w:r>
      <w:rPr>
        <w:rFonts w:ascii="Arial" w:hAnsi="Arial"/>
        <w:sz w:val="20"/>
      </w:rPr>
      <w:t xml:space="preserve"> de </w:t>
    </w:r>
    <w:r>
      <w:rPr>
        <w:rFonts w:ascii="Arial" w:hAnsi="Arial"/>
        <w:sz w:val="20"/>
      </w:rP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