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NEGATIVA DE PENSIÓN DEL ISSSTE POR SUPUESTA ELECCIÓN DE CUENTAS INDIVIDUALES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Antes de usar el machote, confirma con la persona trabajadora que nunca firmó un documento de elección por el bono de pensión: la negativa lisa y llana sólo funciona si es cierta. Reúne el oficio de negativa con su constancia de notificación, la solicitud de pensión con sello de recibido, el acta de nacimiento o la CURP y la hoja única de servicios.</w:t>
      </w:r>
    </w:p>
    <w:p>
      <w:pPr>
        <w:spacing w:line="360" w:lineRule="auto"/>
        <w:jc w:val="both"/>
      </w:pPr>
      <w:r>
        <w:rPr>
          <w:rFonts w:ascii="Arial" w:hAnsi="Arial"/>
          <w:b w:val="0"/>
          <w:i w:val="0"/>
          <w:sz w:val="24"/>
        </w:rPr>
        <w:t>Tramita el juicio en la vía ordinaria, porque la negativa de pensión no está entre las resoluciones que el artículo 58-2 de la Ley Federal de Procedimiento Contencioso Administrativo manda a la sumaria, y presenta la demanda dentro de los treinta días del artículo 13, fracción I, inciso a), de esa ley. El párrafo sobre imprescriptibilidad queda como defensa si la autoridad objeta la oportunidad, no como sustituto del plazo.</w:t>
      </w:r>
    </w:p>
    <w:p>
      <w:pPr>
        <w:spacing w:line="360" w:lineRule="auto"/>
        <w:jc w:val="both"/>
      </w:pPr>
      <w:r>
        <w:rPr>
          <w:rFonts w:ascii="Arial" w:hAnsi="Arial"/>
          <w:b w:val="0"/>
          <w:i w:val="0"/>
          <w:sz w:val="24"/>
        </w:rPr>
        <w:t>Confirma que el oficio niega expresamente la pensión: si sólo orienta a acudir a la Afore sin resolver la solicitud, valora antes si es una resolución definitiva o un simple acto de trámite. Ajusta el planteamiento y la refutación al texto real del oficio: si no remite a la Afore o no alega falta de facultades, elimina esas porciones. Antes de citarlos, coteja en el texto vigente el artículo Décimo Transitorio de la Ley del ISSSTE y el reglamento orgánico del Instituto, y precisa qué código procesal es supletorio: tras la reforma de noviembre de 2025, el artículo 1o. de la ley procesal remite al Código Nacional de Procedimientos Civiles y Familiares, mientras que la Sala aplicó en su caso el Código Federal de Procedimientos Civiles.</w:t>
      </w:r>
    </w:p>
    <w:p>
      <w:pPr>
        <w:spacing w:line="360" w:lineRule="auto"/>
        <w:jc w:val="both"/>
      </w:pPr>
      <w:r>
        <w:rPr>
          <w:rFonts w:ascii="Arial" w:hAnsi="Arial"/>
          <w:b w:val="0"/>
          <w:i w:val="0"/>
          <w:sz w:val="24"/>
        </w:rPr>
        <w:t>Cuando el Instituto conteste, revisa en qué forma exhibió el documento de elección y reitera la objeción en la ampliación de la demanda, si procede, y en los alegatos. Recuerda que la sentencia que inspira el machote es de una Sala Regional y es anterior a la reforma de la ley procesal de 9 de junio de 2026: úsala como ilustración, no como precedente obligatorio.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negó la pensión.</w:t>
      </w:r>
    </w:p>
    <w:p>
      <w:pPr>
        <w:spacing w:line="360" w:lineRule="auto"/>
        <w:jc w:val="both"/>
      </w:pPr>
      <w:r>
        <w:rPr>
          <w:rFonts w:ascii="Arial" w:hAnsi="Arial"/>
          <w:b/>
          <w:i w:val="0"/>
          <w:sz w:val="24"/>
        </w:rPr>
        <w:t>[FECHA DE LA RESOLUCIÓN IMPUGNADA]</w:t>
      </w:r>
      <w:r>
        <w:rPr>
          <w:rFonts w:ascii="Arial" w:hAnsi="Arial"/>
          <w:b w:val="0"/>
          <w:i w:val="0"/>
          <w:sz w:val="24"/>
        </w:rPr>
        <w:t>: la fecha que aparece en el oficio.</w:t>
      </w:r>
    </w:p>
    <w:p>
      <w:pPr>
        <w:spacing w:line="360" w:lineRule="auto"/>
        <w:jc w:val="both"/>
      </w:pPr>
      <w:r>
        <w:rPr>
          <w:rFonts w:ascii="Arial" w:hAnsi="Arial"/>
          <w:b/>
          <w:i w:val="0"/>
          <w:sz w:val="24"/>
        </w:rPr>
        <w:t>[AUTORIDAD DEMANDADA]</w:t>
      </w:r>
      <w:r>
        <w:rPr>
          <w:rFonts w:ascii="Arial" w:hAnsi="Arial"/>
          <w:b w:val="0"/>
          <w:i w:val="0"/>
          <w:sz w:val="24"/>
        </w:rPr>
        <w:t>: la unidad del Instituto que firmó el oficio, con su denominación completa (por ejemplo, la Subdelegación de Prestaciones de la entidad).</w:t>
      </w:r>
    </w:p>
    <w:p>
      <w:pPr>
        <w:spacing w:line="360" w:lineRule="auto"/>
        <w:jc w:val="both"/>
      </w:pPr>
      <w:r>
        <w:rPr>
          <w:rFonts w:ascii="Arial" w:hAnsi="Arial"/>
          <w:b/>
          <w:i w:val="0"/>
          <w:sz w:val="24"/>
        </w:rPr>
        <w:t>[NOMBRE DE LA PARTE ACTORA]</w:t>
      </w:r>
      <w:r>
        <w:rPr>
          <w:rFonts w:ascii="Arial" w:hAnsi="Arial"/>
          <w:b w:val="0"/>
          <w:i w:val="0"/>
          <w:sz w:val="24"/>
        </w:rPr>
        <w:t>: el nombre completo de la persona trabajadora que pidió la pensión.</w:t>
      </w:r>
    </w:p>
    <w:p>
      <w:pPr>
        <w:spacing w:line="360" w:lineRule="auto"/>
        <w:jc w:val="both"/>
      </w:pPr>
      <w:r>
        <w:rPr>
          <w:rFonts w:ascii="Arial" w:hAnsi="Arial"/>
          <w:b/>
          <w:i w:val="0"/>
          <w:sz w:val="24"/>
        </w:rPr>
        <w:t>[FECHA DE LA SOLICITUD DE PENSIÓN]</w:t>
      </w:r>
      <w:r>
        <w:rPr>
          <w:rFonts w:ascii="Arial" w:hAnsi="Arial"/>
          <w:b w:val="0"/>
          <w:i w:val="0"/>
          <w:sz w:val="24"/>
        </w:rPr>
        <w:t>: la fecha del sello de recibido de la solicitud.</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se entregó o notificó el oficio.</w:t>
      </w:r>
    </w:p>
    <w:p>
      <w:pPr>
        <w:spacing w:line="360" w:lineRule="auto"/>
        <w:jc w:val="both"/>
      </w:pPr>
      <w:r>
        <w:rPr>
          <w:rFonts w:ascii="Arial" w:hAnsi="Arial"/>
          <w:b/>
          <w:i w:val="0"/>
          <w:sz w:val="24"/>
        </w:rPr>
        <w:t>[EDAD DE LA PERSONA ACTORA AL SOLICITAR LA PENSIÓN]</w:t>
      </w:r>
      <w:r>
        <w:rPr>
          <w:rFonts w:ascii="Arial" w:hAnsi="Arial"/>
          <w:b w:val="0"/>
          <w:i w:val="0"/>
          <w:sz w:val="24"/>
        </w:rPr>
        <w:t>: los años cumplidos a la fecha de la solicitud, calculados con el acta de nacimiento.</w:t>
      </w:r>
    </w:p>
    <w:p>
      <w:pPr>
        <w:spacing w:line="360" w:lineRule="auto"/>
        <w:jc w:val="both"/>
      </w:pPr>
      <w:r>
        <w:rPr>
          <w:rFonts w:ascii="Arial" w:hAnsi="Arial"/>
          <w:b/>
          <w:i w:val="0"/>
          <w:sz w:val="24"/>
        </w:rPr>
        <w:t>[AÑOS, MESES Y DÍAS DE COTIZACIÓN]</w:t>
      </w:r>
      <w:r>
        <w:rPr>
          <w:rFonts w:ascii="Arial" w:hAnsi="Arial"/>
          <w:b w:val="0"/>
          <w:i w:val="0"/>
          <w:sz w:val="24"/>
        </w:rPr>
        <w:t>: el tiempo que resulte de la hoja única de servicios; calcúlalo con cuidado, día por día.</w:t>
      </w:r>
    </w:p>
    <w:p>
      <w:pPr>
        <w:spacing w:line="360" w:lineRule="auto"/>
        <w:jc w:val="both"/>
      </w:pPr>
      <w:r>
        <w:rPr>
          <w:rFonts w:ascii="Arial" w:hAnsi="Arial"/>
          <w:b/>
          <w:i w:val="0"/>
          <w:sz w:val="24"/>
        </w:rPr>
        <w:t>[FECHA DE NACIMIENTO DE LA PERSONA ACTORA]</w:t>
      </w:r>
      <w:r>
        <w:rPr>
          <w:rFonts w:ascii="Arial" w:hAnsi="Arial"/>
          <w:b w:val="0"/>
          <w:i w:val="0"/>
          <w:sz w:val="24"/>
        </w:rPr>
        <w:t>: la que consta en el acta de nacimiento y en la CURP.</w:t>
      </w:r>
    </w:p>
    <w:p>
      <w:pPr>
        <w:spacing w:line="360" w:lineRule="auto"/>
        <w:jc w:val="both"/>
      </w:pPr>
      <w:r>
        <w:rPr>
          <w:rFonts w:ascii="Arial" w:hAnsi="Arial"/>
          <w:b/>
          <w:i w:val="0"/>
          <w:sz w:val="24"/>
        </w:rPr>
        <w:t>[DEPENDENCIA O ENTIDAD QUE EXPIDIÓ LA HOJA ÚNICA DE SERVICIOS]</w:t>
      </w:r>
      <w:r>
        <w:rPr>
          <w:rFonts w:ascii="Arial" w:hAnsi="Arial"/>
          <w:b w:val="0"/>
          <w:i w:val="0"/>
          <w:sz w:val="24"/>
        </w:rPr>
        <w:t>: la dependencia, entidad o ayuntamiento que la firmó.</w:t>
      </w:r>
    </w:p>
    <w:p>
      <w:pPr>
        <w:spacing w:line="360" w:lineRule="auto"/>
        <w:jc w:val="both"/>
      </w:pPr>
      <w:r>
        <w:rPr>
          <w:rFonts w:ascii="Arial" w:hAnsi="Arial"/>
          <w:b/>
          <w:i w:val="0"/>
          <w:sz w:val="24"/>
        </w:rPr>
        <w:t>[PRECEPTOS DEL CÓDIGO PROCESAL SUPLETORIO APLICABLE]</w:t>
      </w:r>
      <w:r>
        <w:rPr>
          <w:rFonts w:ascii="Arial" w:hAnsi="Arial"/>
          <w:b w:val="0"/>
          <w:i w:val="0"/>
          <w:sz w:val="24"/>
        </w:rPr>
        <w:t>: los artículos sobre valor de copias y documentos del código procesal que sea supletorio en tu juicio; verifica si es el Código Nacional de Procedimientos Civiles y Familiares o el Código Federal de Procedimientos Civiles.</w:t>
      </w:r>
    </w:p>
    <w:p>
      <w:pPr>
        <w:spacing w:line="360" w:lineRule="auto"/>
        <w:jc w:val="both"/>
      </w:pPr>
      <w:r>
        <w:rPr>
          <w:rFonts w:ascii="Arial" w:hAnsi="Arial"/>
          <w:b/>
          <w:i w:val="0"/>
          <w:sz w:val="24"/>
        </w:rPr>
        <w:t>[FECHA A PARTIR DE LA CUAL SE RECLAMA EL PAGO]</w:t>
      </w:r>
      <w:r>
        <w:rPr>
          <w:rFonts w:ascii="Arial" w:hAnsi="Arial"/>
          <w:b w:val="0"/>
          <w:i w:val="0"/>
          <w:sz w:val="24"/>
        </w:rPr>
        <w:t>: la fecha desde la que pides el pago (por ejemplo, la de la solicitud o la del día en que se reunieron los requisitos); es una pretensión que debes sostener, porque en el caso analizado la Sala no condenó al pago.</w:t>
      </w:r>
    </w:p>
    <w:p/>
    <w:p>
      <w:pPr>
        <w:spacing w:line="360" w:lineRule="auto"/>
        <w:jc w:val="both"/>
      </w:pPr>
      <w:r>
        <w:rPr>
          <w:rFonts w:ascii="Arial" w:hAnsi="Arial"/>
          <w:b/>
          <w:sz w:val="28"/>
        </w:rPr>
        <w:t>[NÚMERO ORDINAL DEL CONCEPTO] CONCEPTO DE IMPUGNACIÓN. La negativa de la pensión de retiro por edad y tiempo de servicios descansa en una premisa no demostrada: la supuesta opción por el sistema de cuentas individuales. Negada lisa y llanamente esa elección, tocaba al Instituto acreditarla con el original o con copia certificada del formato respectivo, y ni el registro de su base de datos ni una reproducción simple bastan para ello; la resolución se funda, por tanto, en hechos que no se realizaron,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negó a </w:t>
      </w:r>
      <w:r>
        <w:rPr>
          <w:rFonts w:ascii="Arial" w:hAnsi="Arial"/>
          <w:b/>
          <w:i w:val="0"/>
          <w:sz w:val="28"/>
        </w:rPr>
        <w:t>[NOMBRE DE LA PARTE ACTORA]</w:t>
      </w:r>
      <w:r>
        <w:rPr>
          <w:rFonts w:ascii="Arial" w:hAnsi="Arial"/>
          <w:b w:val="0"/>
          <w:i w:val="0"/>
          <w:sz w:val="28"/>
        </w:rPr>
        <w:t xml:space="preserve"> la pensión de retiro por edad y tiempo de servicios pedida el </w:t>
      </w:r>
      <w:r>
        <w:rPr>
          <w:rFonts w:ascii="Arial" w:hAnsi="Arial"/>
          <w:b/>
          <w:i w:val="0"/>
          <w:sz w:val="28"/>
        </w:rPr>
        <w:t>[FECHA DE LA SOLICITUD DE PENSIÓN]</w:t>
      </w:r>
      <w:r>
        <w:rPr>
          <w:rFonts w:ascii="Arial" w:hAnsi="Arial"/>
          <w:b w:val="0"/>
          <w:i w:val="0"/>
          <w:sz w:val="28"/>
        </w:rPr>
        <w:t>, es ilegal, porque el único motivo que la sostiene, que la persona trabajadora estaría sujeta al régimen ordinario de cuentas individuales, nunca fue acreditado por quien lo afirmó.</w:t>
      </w:r>
    </w:p>
    <w:p>
      <w:pPr>
        <w:spacing w:line="360" w:lineRule="auto"/>
        <w:jc w:val="both"/>
      </w:pPr>
      <w:r>
        <w:rPr>
          <w:rFonts w:ascii="Arial" w:hAnsi="Arial"/>
          <w:b w:val="0"/>
          <w:i w:val="0"/>
          <w:sz w:val="28"/>
        </w:rPr>
        <w:t xml:space="preserve">La demostración descansa en tres premisas encadenadas: la presunción de legalidad de los actos administrativos cede cuando la persona afectada niega lisa y llanamente los hechos que los motivan; la opción por el bono de pensión es un acto positivo de voluntad cuya constancia natural, el llamado </w:t>
      </w:r>
      <w:r>
        <w:rPr>
          <w:rFonts w:ascii="Arial" w:hAnsi="Arial"/>
          <w:b w:val="0"/>
          <w:i/>
          <w:sz w:val="28"/>
        </w:rPr>
        <w:t>“documento de elección”</w:t>
      </w:r>
      <w:r>
        <w:rPr>
          <w:rFonts w:ascii="Arial" w:hAnsi="Arial"/>
          <w:b w:val="0"/>
          <w:i w:val="0"/>
          <w:sz w:val="28"/>
        </w:rPr>
        <w:t>, obra en los archivos del propio Instituto; y un registro informático o una reproducción fotostática de ese formato carecen de aptitud para tener por acreditado lo que en él se habría manifestado.</w:t>
      </w:r>
    </w:p>
    <w:p>
      <w:pPr>
        <w:spacing w:line="360" w:lineRule="auto"/>
        <w:jc w:val="both"/>
      </w:pPr>
      <w:r>
        <w:rPr>
          <w:rFonts w:ascii="Arial" w:hAnsi="Arial"/>
          <w:b w:val="0"/>
          <w:i w:val="0"/>
          <w:sz w:val="28"/>
        </w:rPr>
        <w:t>Sin esa prueba, la negativa se apoya en hechos que no se realizaron, supuesto de la fracción IV del artículo 51 de la Ley Federal de Procedimiento Contencioso Administrativo; y como la persona actora reúne la edad y los años de cotización que exige el Décimo Transitorio del decreto por el que se expidió la Ley del Instituto de Seguridad y Servicios Sociales de los Trabajadores del Estado, procede declarar la nulidad de la resolución y reconocer su derecho a la prestación.</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con la que la autoridad respondió la petición de pensión y la denegó con el solo argumento de que, según la consulta a su base de datos institucional, la persona trabajadora se encuentra en el régimen ordinario de cuentas individuales, al grado de remitirla a su administradora de fondos para el retiro a fin de que verifique su situación.</w:t>
      </w:r>
    </w:p>
    <w:p>
      <w:pPr>
        <w:spacing w:line="360" w:lineRule="auto"/>
        <w:jc w:val="both"/>
      </w:pPr>
      <w:r>
        <w:rPr>
          <w:rFonts w:ascii="Arial" w:hAnsi="Arial"/>
          <w:b w:val="0"/>
          <w:i w:val="0"/>
          <w:sz w:val="28"/>
        </w:rPr>
        <w:t>Se plantea la inobservancia del artículo 42 de la Ley Federal de Procedimiento Contencioso Administrativo, que impone a la autoridad la prueba de los motivos fácticos cuando la persona afectada los niega lisa y llanamente; de su numeral 46, que fija el valor de los documentos públicos y deja a la prudente apreciación de la Sala el de las demás probanzas; y de su precepto 51, fracción IV, que sanciona con la ilegalidad la resolución apoyada en hechos inexistentes, distintos o erróneamente ponderados.</w:t>
      </w:r>
    </w:p>
    <w:p>
      <w:pPr>
        <w:spacing w:line="360" w:lineRule="auto"/>
        <w:jc w:val="both"/>
      </w:pPr>
      <w:r>
        <w:rPr>
          <w:rFonts w:ascii="Arial" w:hAnsi="Arial"/>
          <w:b w:val="0"/>
          <w:i w:val="0"/>
          <w:sz w:val="28"/>
        </w:rPr>
        <w:t>Se plantea, además, la infracción del Décimo Transitorio del decreto que expidió la Ley del ISSSTE, que define a quiénes se aplica el régimen de pensiones cuyo otorgamiento se pidió, así como del artículo 16, primer párrafo, de la Constitución Política de los Estados Unidos Mexicanos, que exige a todo acto de molestia una causa legal fundada y motivada, lo que supone que los hechos invocados sean ciertos y demostrables.</w:t>
      </w:r>
    </w:p>
    <w:p>
      <w:pPr>
        <w:spacing w:line="360" w:lineRule="auto"/>
        <w:jc w:val="both"/>
      </w:pPr>
      <w:r>
        <w:rPr>
          <w:rFonts w:ascii="Arial" w:hAnsi="Arial"/>
          <w:b w:val="0"/>
          <w:i w:val="0"/>
          <w:sz w:val="28"/>
        </w:rPr>
        <w:t xml:space="preserve">El perjuicio es directo y continuo: a una persona que a la fecha de su solicitud contaba con </w:t>
      </w:r>
      <w:r>
        <w:rPr>
          <w:rFonts w:ascii="Arial" w:hAnsi="Arial"/>
          <w:b/>
          <w:i w:val="0"/>
          <w:sz w:val="28"/>
        </w:rPr>
        <w:t>[EDAD DE LA PERSONA ACTORA AL SOLICITAR LA PENSIÓN]</w:t>
      </w:r>
      <w:r>
        <w:rPr>
          <w:rFonts w:ascii="Arial" w:hAnsi="Arial"/>
          <w:b w:val="0"/>
          <w:i w:val="0"/>
          <w:sz w:val="28"/>
        </w:rPr>
        <w:t xml:space="preserve"> años y acreditaba </w:t>
      </w:r>
      <w:r>
        <w:rPr>
          <w:rFonts w:ascii="Arial" w:hAnsi="Arial"/>
          <w:b/>
          <w:i w:val="0"/>
          <w:sz w:val="28"/>
        </w:rPr>
        <w:t>[AÑOS, MESES Y DÍAS DE COTIZACIÓN]</w:t>
      </w:r>
      <w:r>
        <w:rPr>
          <w:rFonts w:ascii="Arial" w:hAnsi="Arial"/>
          <w:b w:val="0"/>
          <w:i w:val="0"/>
          <w:sz w:val="28"/>
        </w:rPr>
        <w:t xml:space="preserve"> de cotización se le priva de la prestación que sustituye su ingreso en la vejez, con base en un dato que la autoridad nunca puso a su vista ni sometió a contradicción. De prosperar este concepto, el beneficio es el mayor posible: la nulidad de la negativa y el reconocimiento del derecho a la pensión.</w:t>
      </w:r>
    </w:p>
    <w:p>
      <w:pPr>
        <w:spacing w:line="360" w:lineRule="auto"/>
        <w:jc w:val="both"/>
      </w:pPr>
      <w:r>
        <w:rPr>
          <w:rFonts w:ascii="Arial" w:hAnsi="Arial"/>
          <w:b w:val="0"/>
          <w:i w:val="0"/>
          <w:sz w:val="28"/>
        </w:rPr>
        <w:t>Conviene dejar asentada desde ahora la procedencia del juicio. La negativa constituye un acto definitivo dictado en materia de pensiones civiles a cargo del Instituto, hipótesis que el artículo 3, fracción VII, de la Ley Orgánica del Tribunal Federal de Justicia Administrativa somete a la competencia de este órgano jurisdiccional, y cuyo texto da ese carácter a las resoluciones que no admiten recurso o contra las que éste es optativo.</w:t>
      </w:r>
    </w:p>
    <w:p>
      <w:pPr>
        <w:spacing w:line="360" w:lineRule="auto"/>
        <w:jc w:val="both"/>
      </w:pPr>
      <w:r>
        <w:rPr>
          <w:rFonts w:ascii="Arial" w:hAnsi="Arial"/>
          <w:b w:val="0"/>
          <w:i w:val="0"/>
          <w:sz w:val="28"/>
        </w:rPr>
        <w:t>El medio de defensa previsto en el numeral 31 del Reglamento de Prestaciones Económicas y Vivienda del Instituto no se impone como requisito previo para acudir a este Tribunal, de modo que tampoco se actualiza la improcedencia del artículo 8o., fracción VI, de la ley procesal administrativa, que exceptúa expresamente los recursos de interposición optativa, como lo reconoció una Sala Regional en un caso análogo.</w:t>
      </w:r>
    </w:p>
    <w:p>
      <w:pPr>
        <w:spacing w:line="360" w:lineRule="auto"/>
        <w:jc w:val="both"/>
      </w:pPr>
      <w:r>
        <w:rPr>
          <w:rFonts w:ascii="Arial" w:hAnsi="Arial"/>
          <w:b w:val="0"/>
          <w:i w:val="0"/>
          <w:sz w:val="28"/>
        </w:rPr>
        <w:t>Para el caso de que la autoridad objete la oportunidad de la demanda, debe considerarse que el artículo 248 de la Ley del ISSSTE declara imprescriptible el derecho a la jubilación y a la pensión, de suerte que la acción que lo tutela puede ejercerse en cualquier tiempo frente a las resoluciones de esa materia dictadas por el Instituto, sin sujeción al plazo de treinta días del numeral 13, fracción I, inciso a), de la ley procesal, pues la norma especial prevalece sobre la general, razonamiento acogido en ese mismo asunto.</w:t>
      </w:r>
    </w:p>
    <w:p>
      <w:pPr>
        <w:spacing w:line="360" w:lineRule="auto"/>
        <w:jc w:val="both"/>
      </w:pPr>
      <w:r>
        <w:rPr>
          <w:rFonts w:ascii="Arial" w:hAnsi="Arial"/>
          <w:b w:val="0"/>
          <w:i w:val="0"/>
          <w:sz w:val="28"/>
        </w:rPr>
        <w:t xml:space="preserve">Para los efectos del artículo 42 de la ley procesal administrativa, la parte actora niega lisa y llanamente haber optado por la acreditación de bonos de pensión o por el sistema de cuentas individuales, así como encontrarse incorporada a él. Esta negativa no entraña la afirmación de otro hecho, pues el régimen del Décimo Transitorio no exige un acto positivo de adhesión: su propio texto lo destina </w:t>
      </w:r>
      <w:r>
        <w:rPr>
          <w:rFonts w:ascii="Arial" w:hAnsi="Arial"/>
          <w:b w:val="0"/>
          <w:i/>
          <w:sz w:val="28"/>
        </w:rPr>
        <w:t>“A los Trabajadores que no opten por la acreditación de Bonos de Pensión del ISSSTE”</w:t>
      </w:r>
      <w:r>
        <w:rPr>
          <w:rFonts w:ascii="Arial" w:hAnsi="Arial"/>
          <w:b w:val="0"/>
          <w:i w:val="0"/>
          <w:sz w:val="28"/>
        </w:rPr>
        <w:t>, de modo que lo único que debe probarse es la opción contraria, y esa carga incumbe a quien la invoca.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constitucional. El artículo 123, apartado B, fracción XI, inciso a), de la Constitución Política de los Estados Unidos Mexicanos ordena que la seguridad social de quienes laboran para el Estado cubra </w:t>
      </w:r>
      <w:r>
        <w:rPr>
          <w:rFonts w:ascii="Arial" w:hAnsi="Arial"/>
          <w:b w:val="0"/>
          <w:i/>
          <w:sz w:val="28"/>
        </w:rPr>
        <w:t>“la jubilación, la invalidez, vejez y muerte”</w:t>
      </w:r>
      <w:r>
        <w:rPr>
          <w:rFonts w:ascii="Arial" w:hAnsi="Arial"/>
          <w:b w:val="0"/>
          <w:i w:val="0"/>
          <w:sz w:val="28"/>
        </w:rPr>
        <w:t>, de modo que la pensión de retiro por edad y tiempo de servicios es una prestación con asiento en la Norma Fundamental, destinada a asegurar la subsistencia de quien dedicó su trayectoria a la función pública; por ello, su negativa sólo puede sostenerse en hechos ciertos y debidamente acreditados.</w:t>
      </w:r>
    </w:p>
    <w:p>
      <w:pPr>
        <w:spacing w:line="360" w:lineRule="auto"/>
        <w:jc w:val="both"/>
      </w:pPr>
      <w:r>
        <w:rPr>
          <w:rFonts w:ascii="Arial" w:hAnsi="Arial"/>
          <w:b w:val="0"/>
          <w:i w:val="0"/>
          <w:sz w:val="28"/>
        </w:rPr>
        <w:t>El régimen cuyo beneficio se reclama se define por exclusión. El Décimo Transitorio del decreto que expidió la Ley del ISSSTE dispone que sus modalidades se aplicarán a quienes no opten por los bonos previstos en ese mismo ordenamiento, y entre ellas contempla la pensión de retiro por edad y tiempo de servicios para quien reúna quince años o más de cotización al Instituto y la edad que fija la tabla del mismo precepto, que a partir de 2018 es de sesenta años.</w:t>
      </w:r>
    </w:p>
    <w:p>
      <w:pPr>
        <w:spacing w:line="360" w:lineRule="auto"/>
        <w:jc w:val="both"/>
      </w:pPr>
      <w:r>
        <w:rPr>
          <w:rFonts w:ascii="Arial" w:hAnsi="Arial"/>
          <w:b w:val="0"/>
          <w:i w:val="0"/>
          <w:sz w:val="28"/>
        </w:rPr>
        <w:t xml:space="preserve">La circunstancia que excluye a una persona de esas modalidades es, entonces, positiva y documentable: la opción expresa por ese instrumento, que se manifiesta en el formato para ejercer el derecho de elegir entre el régimen del Décimo Transitorio y el bono de pensión, conocido como </w:t>
      </w:r>
      <w:r>
        <w:rPr>
          <w:rFonts w:ascii="Arial" w:hAnsi="Arial"/>
          <w:b w:val="0"/>
          <w:i/>
          <w:sz w:val="28"/>
        </w:rPr>
        <w:t>“documento de elección”</w:t>
      </w:r>
      <w:r>
        <w:rPr>
          <w:rFonts w:ascii="Arial" w:hAnsi="Arial"/>
          <w:b w:val="0"/>
          <w:i w:val="0"/>
          <w:sz w:val="28"/>
        </w:rPr>
        <w:t>. Quien sostenga que la persona trabajadora quedó fuera de esas reglas debe mostrar ese acto de voluntad, con su firma y su fecha.</w:t>
      </w:r>
    </w:p>
    <w:p>
      <w:pPr>
        <w:spacing w:line="360" w:lineRule="auto"/>
        <w:jc w:val="both"/>
      </w:pPr>
      <w:r>
        <w:rPr>
          <w:rFonts w:ascii="Arial" w:hAnsi="Arial"/>
          <w:b w:val="0"/>
          <w:i w:val="0"/>
          <w:sz w:val="28"/>
        </w:rPr>
        <w:t>Sobre esa circunstancia opera el artículo 42 de la Ley Federal de Procedimiento Contencioso Administrativo: las resoluciones administrativas gozan de presunción de legalidad, pero la autoridad debe acreditar los hechos que las motivan cuando la persona afectada los niega lisa y llanamente, salvo que la negativa implique afirmar otro distinto. Una corriente doctrinal difundida sostiene que las reglas formuladas bajo el esquema de admitir demostración en contrario funcionan, en rigor, como normas encubiertas sobre la carga probatoria, cuya única tarea es asignar a la otra parte el deber de evidenciar lo opuesto.</w:t>
      </w:r>
      <w:r>
        <w:rPr>
          <w:rFonts w:ascii="Arial" w:hAnsi="Arial"/>
          <w:vertAlign w:val="superscript"/>
        </w:rPr>
        <w:t>1</w:t>
      </w:r>
    </w:p>
    <w:p>
      <w:pPr>
        <w:spacing w:line="360" w:lineRule="auto"/>
        <w:jc w:val="both"/>
      </w:pPr>
      <w:r>
        <w:rPr>
          <w:rFonts w:ascii="Arial" w:hAnsi="Arial"/>
          <w:b w:val="0"/>
          <w:i w:val="0"/>
          <w:sz w:val="28"/>
        </w:rPr>
        <w:t>Leída así, la presunción de legalidad reparte inicialmente las cargas del proceso, y el propio precepto las revierte en cuanto la persona afectada controvierte los hechos que motivan el acto. Esa reversión expresa en el ámbito administrativo el viejo principio según el cual incumbe probar a quien afirma y no a quien niega, cuyo desconocimiento constituye la forma más flagrante de inversión de la carga de la prueba, maniobra que traslada al oponente la responsabilidad de demostrar la falsedad de lo que uno sostiene.</w:t>
      </w:r>
      <w:r>
        <w:rPr>
          <w:rFonts w:ascii="Arial" w:hAnsi="Arial"/>
          <w:vertAlign w:val="superscript"/>
        </w:rPr>
        <w:t>2</w:t>
      </w:r>
    </w:p>
    <w:p>
      <w:pPr>
        <w:spacing w:line="360" w:lineRule="auto"/>
        <w:jc w:val="both"/>
      </w:pPr>
      <w:r>
        <w:rPr>
          <w:rFonts w:ascii="Arial" w:hAnsi="Arial"/>
          <w:b w:val="0"/>
          <w:i w:val="0"/>
          <w:sz w:val="28"/>
        </w:rPr>
        <w:t>Exigir a la persona trabajadora que demuestre que nunca suscribió un formato equivale a imponerle la prueba de un hecho negativo indefinido, que por su naturaleza no deja rastro escrito en su poder. La única forma racional de esclarecer el punto es que quien afirma la existencia del documento lo exhiba en condiciones que permitan verificar su autenticidad.</w:t>
      </w:r>
    </w:p>
    <w:p>
      <w:pPr>
        <w:spacing w:line="360" w:lineRule="auto"/>
        <w:jc w:val="both"/>
      </w:pPr>
      <w:r>
        <w:rPr>
          <w:rFonts w:ascii="Arial" w:hAnsi="Arial"/>
          <w:b w:val="0"/>
          <w:i w:val="0"/>
          <w:sz w:val="28"/>
        </w:rPr>
        <w:t>A la misma conclusión conduce el principio de disponibilidad probatoria, conforme al cual las consecuencias de la falta de prueba deben recaer en la parte que se encontraba en mejores condiciones para aportarla, por su cercanía, vinculación o acceso a la fuente.</w:t>
      </w:r>
      <w:r>
        <w:rPr>
          <w:rFonts w:ascii="Arial" w:hAnsi="Arial"/>
          <w:vertAlign w:val="superscript"/>
        </w:rPr>
        <w:t>3</w:t>
      </w:r>
      <w:r>
        <w:rPr>
          <w:rFonts w:ascii="Arial" w:hAnsi="Arial"/>
          <w:b w:val="0"/>
          <w:i w:val="0"/>
          <w:sz w:val="28"/>
        </w:rPr>
        <w:t xml:space="preserve"> El documento de elección obra, según la propia autoridad, en sus archivos y sistemas; nadie está en mejor posición que el Instituto para exhibir el original o expedir su copia certificada, mientras que a la persona trabajadora le resulta imposible acreditar que jamás firmó un papel que no conserva.</w:t>
      </w:r>
    </w:p>
    <w:p>
      <w:pPr>
        <w:spacing w:line="360" w:lineRule="auto"/>
        <w:jc w:val="both"/>
      </w:pPr>
      <w:r>
        <w:rPr>
          <w:rFonts w:ascii="Arial" w:hAnsi="Arial"/>
          <w:b w:val="0"/>
          <w:i w:val="0"/>
          <w:sz w:val="28"/>
        </w:rPr>
        <w:t>En el plano de la valoración, el artículo 46 de la ley procesal administrativa reserva en su fracción I el valor de prueba plena, entre otros supuestos, a los hechos legalmente afirmados por autoridad en documentos públicos, incluidos los digitales, y en la III deja a la prudente apreciación de la Sala las demás probanzas. Una copia fotostática simple carece de la intervención de un funcionario facultado que dé fe de su correspondencia con el original; por sí sola, sin otro elemento que la robustezca, no produce más que un indicio, y así se valoró en el asunto antes aludido.</w:t>
      </w:r>
    </w:p>
    <w:p>
      <w:pPr>
        <w:spacing w:line="360" w:lineRule="auto"/>
        <w:jc w:val="both"/>
      </w:pPr>
      <w:r>
        <w:rPr>
          <w:rFonts w:ascii="Arial" w:hAnsi="Arial"/>
          <w:b w:val="0"/>
          <w:i w:val="0"/>
          <w:sz w:val="28"/>
        </w:rPr>
        <w:t>La exigencia tiene una razón epistémica. La doctrina comparada recuerda que la regla anglosajona de la mejor evidencia obliga a quien presenta un escrito a aportar la constancia primaria de su contenido, porque la posibilidad de examinar el original resulta fundamental para detectar fraudes y porque éste suele ser más confiable que la copia.</w:t>
      </w:r>
      <w:r>
        <w:rPr>
          <w:rFonts w:ascii="Arial" w:hAnsi="Arial"/>
          <w:vertAlign w:val="superscript"/>
        </w:rPr>
        <w:t>4</w:t>
      </w:r>
      <w:r>
        <w:rPr>
          <w:rFonts w:ascii="Arial" w:hAnsi="Arial"/>
          <w:b w:val="0"/>
          <w:i w:val="0"/>
          <w:sz w:val="28"/>
        </w:rPr>
        <w:t xml:space="preserve"> En un formato cuyo único valor reside en la firma de la persona trabajadora y en la opción que habría marcado, esa revisión es insustituible.</w:t>
      </w:r>
    </w:p>
    <w:p>
      <w:pPr>
        <w:spacing w:line="360" w:lineRule="auto"/>
        <w:jc w:val="both"/>
      </w:pPr>
      <w:r>
        <w:rPr>
          <w:rFonts w:ascii="Arial" w:hAnsi="Arial"/>
          <w:b w:val="0"/>
          <w:i w:val="0"/>
          <w:sz w:val="28"/>
        </w:rPr>
        <w:t xml:space="preserve">Tampoco cambia la conclusión que la reproducción ostente una leyenda de certificación que es, a su vez, una fotocopia: lo exhibido sigue siendo la imagen de un papel que dice estar cotejado, sin firma autógrafa ni sello original que lo respalden. Así lo confirman, además, </w:t>
      </w:r>
      <w:r>
        <w:rPr>
          <w:rFonts w:ascii="Arial" w:hAnsi="Arial"/>
          <w:b/>
          <w:i w:val="0"/>
          <w:sz w:val="28"/>
        </w:rPr>
        <w:t>[PRECEPTOS DEL CÓDIGO PROCESAL SUPLETORIO APLICABLE]</w:t>
      </w:r>
      <w:r>
        <w:rPr>
          <w:rFonts w:ascii="Arial" w:hAnsi="Arial"/>
          <w:b w:val="0"/>
          <w:i w:val="0"/>
          <w:sz w:val="28"/>
        </w:rPr>
        <w:t>, de aplicación supletoria conforme al artículo 1o. de la ley de la materia.</w:t>
      </w:r>
    </w:p>
    <w:p>
      <w:pPr>
        <w:spacing w:line="360" w:lineRule="auto"/>
        <w:jc w:val="both"/>
      </w:pPr>
      <w:r>
        <w:rPr>
          <w:rFonts w:ascii="Arial" w:hAnsi="Arial"/>
          <w:b w:val="0"/>
          <w:i w:val="0"/>
          <w:sz w:val="28"/>
        </w:rPr>
        <w:t xml:space="preserve">De todo ello se sigue la consecuencia jurídica. Si la autoridad no acredita la circunstancia en que sustentó su negativa, la resolución queda apoyada en un supuesto fáctico que, para efectos del juicio, no existió, y se actualiza la causal del artículo 51, fracción IV, de la ley procesal, que declara ilegal el acto cuando </w:t>
      </w:r>
      <w:r>
        <w:rPr>
          <w:rFonts w:ascii="Arial" w:hAnsi="Arial"/>
          <w:b w:val="0"/>
          <w:i/>
          <w:sz w:val="28"/>
        </w:rPr>
        <w:t>“los hechos que la motivaron no se realizaron, fueron distintos o se apreciaron en forma equivocada”</w:t>
      </w:r>
      <w:r>
        <w:rPr>
          <w:rFonts w:ascii="Arial" w:hAnsi="Arial"/>
          <w:b w:val="0"/>
          <w:i w:val="0"/>
          <w:sz w:val="28"/>
        </w:rPr>
        <w:t>.</w:t>
      </w:r>
    </w:p>
    <w:p>
      <w:pPr>
        <w:spacing w:line="360" w:lineRule="auto"/>
        <w:jc w:val="both"/>
      </w:pPr>
      <w:r>
        <w:rPr>
          <w:rFonts w:ascii="Arial" w:hAnsi="Arial"/>
          <w:b w:val="0"/>
          <w:i w:val="0"/>
          <w:sz w:val="28"/>
        </w:rPr>
        <w:t>A título ilustrativo, en el caso aludido en el planteamiento, resuelto el 30 de marzo de 2026, una Sala Regional de este Tribunal declaró la nulidad, para efectos, de una negativa semejante, porque el Instituto sólo exhibió el formato de elección en copia simple, con una certificación que era a su vez fotocopia. Ese fallo, anterior a la reforma de la ley procesal publicada el 9 de junio de 2026, no constituye precedente obligatorio ni vincula a otros órganos jurisdiccionales, y los numerales 42, 46, 51 y 52 aquí invocados se citan conforme al texto vigente, que conserva la sustancia de los que entonces se aplicaron.</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caso encuadran en esa premisa. La persona actora nació el </w:t>
      </w:r>
      <w:r>
        <w:rPr>
          <w:rFonts w:ascii="Arial" w:hAnsi="Arial"/>
          <w:b/>
          <w:i w:val="0"/>
          <w:sz w:val="28"/>
        </w:rPr>
        <w:t>[FECHA DE NACIMIENTO DE LA PERSONA ACTORA]</w:t>
      </w:r>
      <w:r>
        <w:rPr>
          <w:rFonts w:ascii="Arial" w:hAnsi="Arial"/>
          <w:b w:val="0"/>
          <w:i w:val="0"/>
          <w:sz w:val="28"/>
        </w:rPr>
        <w:t xml:space="preserve">, según su acta de nacimiento y su clave única de registro de población, de modo que al presentar la solicitud tenía </w:t>
      </w:r>
      <w:r>
        <w:rPr>
          <w:rFonts w:ascii="Arial" w:hAnsi="Arial"/>
          <w:b/>
          <w:i w:val="0"/>
          <w:sz w:val="28"/>
        </w:rPr>
        <w:t>[EDAD DE LA PERSONA ACTORA AL SOLICITAR LA PENSIÓN]</w:t>
      </w:r>
      <w:r>
        <w:rPr>
          <w:rFonts w:ascii="Arial" w:hAnsi="Arial"/>
          <w:b w:val="0"/>
          <w:i w:val="0"/>
          <w:sz w:val="28"/>
        </w:rPr>
        <w:t xml:space="preserve"> años; y la hoja única de servicios expedida por </w:t>
      </w:r>
      <w:r>
        <w:rPr>
          <w:rFonts w:ascii="Arial" w:hAnsi="Arial"/>
          <w:b/>
          <w:i w:val="0"/>
          <w:sz w:val="28"/>
        </w:rPr>
        <w:t>[DEPENDENCIA O ENTIDAD QUE EXPIDIÓ LA HOJA ÚNICA DE SERVICIOS]</w:t>
      </w:r>
      <w:r>
        <w:rPr>
          <w:rFonts w:ascii="Arial" w:hAnsi="Arial"/>
          <w:b w:val="0"/>
          <w:i w:val="0"/>
          <w:sz w:val="28"/>
        </w:rPr>
        <w:t xml:space="preserve"> acredita que cotizó al Instituto durante </w:t>
      </w:r>
      <w:r>
        <w:rPr>
          <w:rFonts w:ascii="Arial" w:hAnsi="Arial"/>
          <w:b/>
          <w:i w:val="0"/>
          <w:sz w:val="28"/>
        </w:rPr>
        <w:t>[AÑOS, MESES Y DÍAS DE COTIZACIÓN]</w:t>
      </w:r>
      <w:r>
        <w:rPr>
          <w:rFonts w:ascii="Arial" w:hAnsi="Arial"/>
          <w:b w:val="0"/>
          <w:i w:val="0"/>
          <w:sz w:val="28"/>
        </w:rPr>
        <w:t>, lapso superior al mínimo que exige el Décimo Transitorio.</w:t>
      </w:r>
    </w:p>
    <w:p>
      <w:pPr>
        <w:spacing w:line="360" w:lineRule="auto"/>
        <w:jc w:val="both"/>
      </w:pPr>
      <w:r>
        <w:rPr>
          <w:rFonts w:ascii="Arial" w:hAnsi="Arial"/>
          <w:b w:val="0"/>
          <w:i w:val="0"/>
          <w:sz w:val="28"/>
        </w:rPr>
        <w:t>Ninguno de esos datos fue cuestionado en la resolución impugnada, cuyo único sustento fue el régimen, y ese motivo carece de respaldo. El oficio no identifica documento alguno firmado por la persona actora, ni su fecha, ni la dependencia ante la que se habría suscrito; se limita a invocar el resultado de una consulta a su propio sistema. Un registro informático alimentado por la misma autoridad que lo emplea es su afirmación unilateral trasladada a una pantalla, y no puede servir para tener por acreditada una voluntad que la persona trabajadora nunca expresó en ese sentido.</w:t>
      </w:r>
    </w:p>
    <w:p>
      <w:pPr>
        <w:spacing w:line="360" w:lineRule="auto"/>
        <w:jc w:val="both"/>
      </w:pPr>
      <w:r>
        <w:rPr>
          <w:rFonts w:ascii="Arial" w:hAnsi="Arial"/>
          <w:b w:val="0"/>
          <w:i w:val="0"/>
          <w:sz w:val="28"/>
        </w:rPr>
        <w:t xml:space="preserve">Si, al contestar, la autoridad exhibe el formato denominado </w:t>
      </w:r>
      <w:r>
        <w:rPr>
          <w:rFonts w:ascii="Arial" w:hAnsi="Arial"/>
          <w:b w:val="0"/>
          <w:i/>
          <w:sz w:val="28"/>
        </w:rPr>
        <w:t>“documento de elección”</w:t>
      </w:r>
      <w:r>
        <w:rPr>
          <w:rFonts w:ascii="Arial" w:hAnsi="Arial"/>
          <w:b w:val="0"/>
          <w:i w:val="0"/>
          <w:sz w:val="28"/>
        </w:rPr>
        <w:t xml:space="preserve"> en reproducción simple, o con una leyenda de cotejo que sea a su vez fotostática, desde ahora se objeta su alcance y valor probatorio, por no tratarse del original ni de una copia certificada de éste; y la parte actora se reserva el derecho de controvertirlo en la ampliación de la demanda, cuando proceda conforme al artículo 17, fracción IV, de la ley procesal, y en los alegatos de lo bien probado.</w:t>
      </w:r>
    </w:p>
    <w:p>
      <w:pPr>
        <w:spacing w:line="360" w:lineRule="auto"/>
        <w:jc w:val="both"/>
      </w:pPr>
      <w:r>
        <w:rPr>
          <w:rFonts w:ascii="Arial" w:hAnsi="Arial"/>
          <w:b w:val="0"/>
          <w:i w:val="0"/>
          <w:sz w:val="28"/>
        </w:rPr>
        <w:t>La motivación de la autoridad incurre, en primer término, en petición de principio, falacia que la doctrina de la argumentación describe, entre otras formas, como el uso de una premisa cuya verdad no está probada.</w:t>
      </w:r>
      <w:r>
        <w:rPr>
          <w:rFonts w:ascii="Arial" w:hAnsi="Arial"/>
          <w:vertAlign w:val="superscript"/>
        </w:rPr>
        <w:t>5</w:t>
      </w:r>
      <w:r>
        <w:rPr>
          <w:rFonts w:ascii="Arial" w:hAnsi="Arial"/>
          <w:b w:val="0"/>
          <w:i w:val="0"/>
          <w:sz w:val="28"/>
        </w:rPr>
        <w:t xml:space="preserve"> El oficio razona así: la persona trabajadora está en el sistema de cuentas individuales porque así figura en la base de datos; pero lo que consta en ella es, precisamente, la afirmación que debía demostrarse, de suerte que la conclusión se sostiene en sí misma y nada se prueba.</w:t>
      </w:r>
    </w:p>
    <w:p>
      <w:pPr>
        <w:spacing w:line="360" w:lineRule="auto"/>
        <w:jc w:val="both"/>
      </w:pPr>
      <w:r>
        <w:rPr>
          <w:rFonts w:ascii="Arial" w:hAnsi="Arial"/>
          <w:b w:val="0"/>
          <w:i w:val="0"/>
          <w:sz w:val="28"/>
        </w:rPr>
        <w:t>Incurre, además, en la falacia ad ignorantiam, cuyo rasgo característico, según la doctrina, es trasladar la carga de la prueba al interlocutor, con frecuencia mediante argumentos ex silentio construidos sobre lo que figura o no en un archivo.</w:t>
      </w:r>
      <w:r>
        <w:rPr>
          <w:rFonts w:ascii="Arial" w:hAnsi="Arial"/>
          <w:vertAlign w:val="superscript"/>
        </w:rPr>
        <w:t>6</w:t>
      </w:r>
      <w:r>
        <w:rPr>
          <w:rFonts w:ascii="Arial" w:hAnsi="Arial"/>
          <w:b w:val="0"/>
          <w:i w:val="0"/>
          <w:sz w:val="28"/>
        </w:rPr>
        <w:t xml:space="preserve"> Cuando el oficio remite a la persona trabajadora con su administradora para que verifique su situación, le exige demostrar que no eligió lo que la autoridad sostiene sin respaldo; y si en el juicio se pretende que la falta de constancia en contrario confirma el registro, el desconocimiento se convierte en evidencia, justo lo que veda el numeral 42 de la ley procesal.</w:t>
      </w:r>
    </w:p>
    <w:p>
      <w:pPr>
        <w:spacing w:line="360" w:lineRule="auto"/>
        <w:jc w:val="both"/>
      </w:pPr>
      <w:r>
        <w:rPr>
          <w:rFonts w:ascii="Arial" w:hAnsi="Arial"/>
          <w:b w:val="0"/>
          <w:i w:val="0"/>
          <w:sz w:val="28"/>
        </w:rPr>
        <w:t xml:space="preserve">Por último, si el oficio añade que la autoridad carece de atribuciones para otorgar el régimen pensionario solicitado, incurre en ignoratio elenchi, pues responde a una petición que nadie formuló: lo pedido fue la prestación, y la competencia para concederla o negarla corresponde a los Subdelegados de Prestaciones, a quienes el artículo 26, apartado A, fracción II, del Reglamento Orgánico de las Delegaciones Estatales y Regionales del Instituto faculta para </w:t>
      </w:r>
      <w:r>
        <w:rPr>
          <w:rFonts w:ascii="Arial" w:hAnsi="Arial"/>
          <w:b w:val="0"/>
          <w:i/>
          <w:sz w:val="28"/>
        </w:rPr>
        <w:t>“Dictaminar, conceder, negar, suspender, modificar o revocar las pensiones derivadas de la Ley y sus reglamentos”</w:t>
      </w:r>
      <w:r>
        <w:rPr>
          <w:rFonts w:ascii="Arial" w:hAnsi="Arial"/>
          <w:b w:val="0"/>
          <w:i w:val="0"/>
          <w:sz w:val="28"/>
        </w:rPr>
        <w:t>.</w:t>
      </w:r>
    </w:p>
    <w:p>
      <w:pPr>
        <w:spacing w:line="360" w:lineRule="auto"/>
        <w:jc w:val="both"/>
      </w:pPr>
      <w:r>
        <w:rPr>
          <w:rFonts w:ascii="Arial" w:hAnsi="Arial"/>
          <w:b w:val="0"/>
          <w:i w:val="0"/>
          <w:sz w:val="28"/>
        </w:rPr>
        <w:t>Aceptar la postura de la autoridad produciría un resultado inadmisible: bastaría que el Instituto anotara en su sistema un régimen distinto para negar cualquier pensión del Décimo Transitorio, y quedaría a cargo de cada persona jubilable la tarea imposible de demostrar que nunca firmó un formato que no conserva. Ese desenlace vaciaría de contenido la regla del artículo 42 de la ley procesal y la garantía de seguridad social del apartado B del precepto 123 constitucional.</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negativa impugnada se sostiene en una sola premisa, la supuesta opción por el sistema de cuentas individuales; esa afirmación fue negada lisa y llanamente; la carga de acreditarla recaía en el Instituto, que tiene a su disposición el original del formato respectivo; y ni un registro informático ni una copia simple bastan para satisfacerla. La resolución se funda, por tanto, en hechos que no se realizaron.</w:t>
      </w:r>
    </w:p>
    <w:p>
      <w:pPr>
        <w:spacing w:line="360" w:lineRule="auto"/>
        <w:jc w:val="both"/>
      </w:pPr>
      <w:r>
        <w:rPr>
          <w:rFonts w:ascii="Arial" w:hAnsi="Arial"/>
          <w:b w:val="0"/>
          <w:i w:val="0"/>
          <w:sz w:val="28"/>
        </w:rPr>
        <w:t xml:space="preserve">Por lo expuesto, se solicita estimar fundado este concepto y, con apoyo en los artículos 51, fracción IV, y 52, fracción V, incisos a) y b), de la Ley Federal de Procedimiento Contencioso Administrativo, declarar la nulidad de la negativa controvertida, reconocer a la persona actora el derecho a la pensión de retiro por edad y tiempo de servicios del Décimo Transitorio y condenar a la autoridad a otorgarla y pagarla a partir de </w:t>
      </w:r>
      <w:r>
        <w:rPr>
          <w:rFonts w:ascii="Arial" w:hAnsi="Arial"/>
          <w:b/>
          <w:i w:val="0"/>
          <w:sz w:val="28"/>
        </w:rPr>
        <w:t>[FECHA A PARTIR DE LA CUAL SE RECLAMA EL PAGO]</w:t>
      </w:r>
      <w:r>
        <w:rPr>
          <w:rFonts w:ascii="Arial" w:hAnsi="Arial"/>
          <w:b w:val="0"/>
          <w:i w:val="0"/>
          <w:sz w:val="28"/>
        </w:rPr>
        <w:t>.</w:t>
      </w:r>
    </w:p>
    <w:p>
      <w:pPr>
        <w:spacing w:line="360" w:lineRule="auto"/>
        <w:jc w:val="both"/>
      </w:pPr>
      <w:r>
        <w:rPr>
          <w:rFonts w:ascii="Arial" w:hAnsi="Arial"/>
          <w:b w:val="0"/>
          <w:i w:val="0"/>
          <w:sz w:val="28"/>
        </w:rPr>
        <w:t>La edad y el tiempo de cotización figuran en el acta de nacimiento y en la hoja única de servicios exhibidas con la demanda, de modo que la Sala cuenta con los elementos para verificar previamente la titularidad de la persona actora, como lo exige el numeral 50 del ordenamiento procesal para las sentencias que condenan a restituir un derecho subjetivo violado.</w:t>
      </w:r>
    </w:p>
    <w:p>
      <w:pPr>
        <w:spacing w:line="360" w:lineRule="auto"/>
        <w:jc w:val="both"/>
      </w:pPr>
      <w:r>
        <w:rPr>
          <w:rFonts w:ascii="Arial" w:hAnsi="Arial"/>
          <w:b w:val="0"/>
          <w:i w:val="0"/>
          <w:sz w:val="28"/>
        </w:rPr>
        <w:t>En forma subsidiaria, para el caso de que la Sala estime insuficientes los elementos para pronunciarse sobre el derecho, se pide declarar la nulidad para el efecto de que la autoridad emita una nueva resolución, fundada y motivada, en la que deje de considerar como motivo de rechazo la supuesta opción por el sistema de cuentas individuales y, de no existir otro impedimento legal, otorgue la pensión, con cumplimiento dentro del plazo que fija el artículo 52 de la ley procesal, contado a partir de que la sentencia quede firme, por tratarse del ejercicio de una facultad reglada.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91.</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54.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115.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 p. 83.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89.</w:t>
      </w:r>
    </w:p>
    <w:p/>
    <w:p>
      <w:r>
        <w:rPr>
          <w:rFonts w:ascii="Arial" w:hAnsi="Arial"/>
          <w:b/>
          <w:sz w:val="22"/>
        </w:rPr>
        <w:t>BIBLIOGRAFÍA</w:t>
      </w:r>
    </w:p>
    <w:p>
      <w:pPr>
        <w:spacing w:after="60"/>
        <w:ind w:left="360" w:hanging="360"/>
        <w:jc w:val="both"/>
      </w:pP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