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HECHOS U OMISIONES NO INFORMADOS EN LA FISCALIZACIÓN (ARTÍCULO 42 DEL CFF)</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Primero lee completa la resolución determinante y las actas de tu revisión: confirma que no exista un acta circunstanciada que pormenorice los hechos u omisiones. Después sustituye los campos entre corchetes, verifica cada dato contra tu expediente y ajusta el ordinal del concepto al lugar que ocupe en tu demanda. Al final, relee la negativa lisa y llana: debe quedar en términos absolutos, sin afirmar ningún otro hecho.</w:t>
      </w:r>
    </w:p>
    <w:p>
      <w:pPr>
        <w:spacing w:line="360" w:lineRule="auto"/>
        <w:jc w:val="both"/>
      </w:pPr>
      <w:r>
        <w:rPr>
          <w:rFonts w:ascii="Arial" w:hAnsi="Arial"/>
          <w:b/>
          <w:i w:val="0"/>
          <w:sz w:val="24"/>
        </w:rPr>
        <w:t>[NÚMERO ORDINAL DEL CONCEPTO]</w:t>
      </w:r>
      <w:r>
        <w:rPr>
          <w:rFonts w:ascii="Arial" w:hAnsi="Arial"/>
          <w:b w:val="0"/>
          <w:i w:val="0"/>
          <w:sz w:val="24"/>
        </w:rPr>
        <w:t xml:space="preserve">: PRIMERO, SEGUNDO, etcétera, según su orden en la demanda. </w:t>
      </w:r>
      <w:r>
        <w:rPr>
          <w:rFonts w:ascii="Arial" w:hAnsi="Arial"/>
          <w:b/>
          <w:i w:val="0"/>
          <w:sz w:val="24"/>
        </w:rPr>
        <w:t>[TIPO DE REVISIÓN FISCAL]</w:t>
      </w:r>
      <w:r>
        <w:rPr>
          <w:rFonts w:ascii="Arial" w:hAnsi="Arial"/>
          <w:b w:val="0"/>
          <w:i w:val="0"/>
          <w:sz w:val="24"/>
        </w:rPr>
        <w:t xml:space="preserve">: revisión de gabinete, visita domiciliaria o revisión electrónica. </w:t>
      </w:r>
      <w:r>
        <w:rPr>
          <w:rFonts w:ascii="Arial" w:hAnsi="Arial"/>
          <w:b/>
          <w:i w:val="0"/>
          <w:sz w:val="24"/>
        </w:rPr>
        <w:t>[NÚMERO DE OFICIO DE LA RESOLUCIÓN IMPUGNADA]</w:t>
      </w:r>
      <w:r>
        <w:rPr>
          <w:rFonts w:ascii="Arial" w:hAnsi="Arial"/>
          <w:b w:val="0"/>
          <w:i w:val="0"/>
          <w:sz w:val="24"/>
        </w:rPr>
        <w:t xml:space="preserve"> y </w:t>
      </w:r>
      <w:r>
        <w:rPr>
          <w:rFonts w:ascii="Arial" w:hAnsi="Arial"/>
          <w:b/>
          <w:i w:val="0"/>
          <w:sz w:val="24"/>
        </w:rPr>
        <w:t>[FECHA DE LA RESOLUCIÓN IMPUGNADA]</w:t>
      </w:r>
      <w:r>
        <w:rPr>
          <w:rFonts w:ascii="Arial" w:hAnsi="Arial"/>
          <w:b w:val="0"/>
          <w:i w:val="0"/>
          <w:sz w:val="24"/>
        </w:rPr>
        <w:t xml:space="preserve">: datos de la resolución que recayó al recurso de revocación. </w:t>
      </w:r>
      <w:r>
        <w:rPr>
          <w:rFonts w:ascii="Arial" w:hAnsi="Arial"/>
          <w:b/>
          <w:i w:val="0"/>
          <w:sz w:val="24"/>
        </w:rPr>
        <w:t>[AUTORIDAD QUE RESOLVIÓ EL RECURSO DE REVOCACIÓN]</w:t>
      </w:r>
      <w:r>
        <w:rPr>
          <w:rFonts w:ascii="Arial" w:hAnsi="Arial"/>
          <w:b w:val="0"/>
          <w:i w:val="0"/>
          <w:sz w:val="24"/>
        </w:rPr>
        <w:t xml:space="preserve">: por ejemplo, la Administración Desconcentrada Jurídica que corresponda. </w:t>
      </w:r>
      <w:r>
        <w:rPr>
          <w:rFonts w:ascii="Arial" w:hAnsi="Arial"/>
          <w:b/>
          <w:i w:val="0"/>
          <w:sz w:val="24"/>
        </w:rPr>
        <w:t>[NÚMERO DE OFICIO DE LA RESOLUCIÓN DETERMINANTE]</w:t>
      </w:r>
      <w:r>
        <w:rPr>
          <w:rFonts w:ascii="Arial" w:hAnsi="Arial"/>
          <w:b w:val="0"/>
          <w:i w:val="0"/>
          <w:sz w:val="24"/>
        </w:rPr>
        <w:t xml:space="preserve">: el oficio de la liquidación original. </w:t>
      </w:r>
      <w:r>
        <w:rPr>
          <w:rFonts w:ascii="Arial" w:hAnsi="Arial"/>
          <w:b/>
          <w:i w:val="0"/>
          <w:sz w:val="24"/>
        </w:rPr>
        <w:t>[AUTORIDAD FISCALIZADORA]</w:t>
      </w:r>
      <w:r>
        <w:rPr>
          <w:rFonts w:ascii="Arial" w:hAnsi="Arial"/>
          <w:b w:val="0"/>
          <w:i w:val="0"/>
          <w:sz w:val="24"/>
        </w:rPr>
        <w:t xml:space="preserve">: la que practicó la revisión y liquidó, por ejemplo la Administración Desconcentrada de Auditoría Fiscal. </w:t>
      </w:r>
      <w:r>
        <w:rPr>
          <w:rFonts w:ascii="Arial" w:hAnsi="Arial"/>
          <w:b/>
          <w:i w:val="0"/>
          <w:sz w:val="24"/>
        </w:rPr>
        <w:t>[NOMBRE O RAZÓN SOCIAL DE LA PARTE ACTORA]</w:t>
      </w:r>
      <w:r>
        <w:rPr>
          <w:rFonts w:ascii="Arial" w:hAnsi="Arial"/>
          <w:b w:val="0"/>
          <w:i w:val="0"/>
          <w:sz w:val="24"/>
        </w:rPr>
        <w:t xml:space="preserve">: como aparece en la resolución. </w:t>
      </w:r>
      <w:r>
        <w:rPr>
          <w:rFonts w:ascii="Arial" w:hAnsi="Arial"/>
          <w:b/>
          <w:i w:val="0"/>
          <w:sz w:val="24"/>
        </w:rPr>
        <w:t>[MONTO DEL CRÉDITO FISCAL]</w:t>
      </w:r>
      <w:r>
        <w:rPr>
          <w:rFonts w:ascii="Arial" w:hAnsi="Arial"/>
          <w:b w:val="0"/>
          <w:i w:val="0"/>
          <w:sz w:val="24"/>
        </w:rPr>
        <w:t xml:space="preserve">: cantidad total liquidada, con número y letra. </w:t>
      </w:r>
      <w:r>
        <w:rPr>
          <w:rFonts w:ascii="Arial" w:hAnsi="Arial"/>
          <w:b/>
          <w:i w:val="0"/>
          <w:sz w:val="24"/>
        </w:rPr>
        <w:t>[CONTRIBUCIÓN Y EJERCICIO REVISADOS]</w:t>
      </w:r>
      <w:r>
        <w:rPr>
          <w:rFonts w:ascii="Arial" w:hAnsi="Arial"/>
          <w:b w:val="0"/>
          <w:i w:val="0"/>
          <w:sz w:val="24"/>
        </w:rPr>
        <w:t xml:space="preserve">: por ejemplo, IVA del ejercicio correspondiente. </w:t>
      </w:r>
      <w:r>
        <w:rPr>
          <w:rFonts w:ascii="Arial" w:hAnsi="Arial"/>
          <w:b/>
          <w:i w:val="0"/>
          <w:sz w:val="24"/>
        </w:rPr>
        <w:t>[NÚMERO DE OFICIO DE LA ORDEN DE REVISIÓN]</w:t>
      </w:r>
      <w:r>
        <w:rPr>
          <w:rFonts w:ascii="Arial" w:hAnsi="Arial"/>
          <w:b w:val="0"/>
          <w:i w:val="0"/>
          <w:sz w:val="24"/>
        </w:rPr>
        <w:t xml:space="preserve">: el oficio con el que inició la fiscalización. </w:t>
      </w:r>
      <w:r>
        <w:rPr>
          <w:rFonts w:ascii="Arial" w:hAnsi="Arial"/>
          <w:b/>
          <w:i w:val="0"/>
          <w:sz w:val="24"/>
        </w:rPr>
        <w:t>[FECHA DE LA DILIGENCIA DE COMPARECENCIA]</w:t>
      </w:r>
      <w:r>
        <w:rPr>
          <w:rFonts w:ascii="Arial" w:hAnsi="Arial"/>
          <w:b w:val="0"/>
          <w:i w:val="0"/>
          <w:sz w:val="24"/>
        </w:rPr>
        <w:t xml:space="preserve">: la fecha de la cita para conocer los hechos u omisiones; si no hubo diligencia, ajusta la redacción para señalarlo. </w:t>
      </w:r>
      <w:r>
        <w:rPr>
          <w:rFonts w:ascii="Arial" w:hAnsi="Arial"/>
          <w:b/>
          <w:i w:val="0"/>
          <w:sz w:val="24"/>
        </w:rPr>
        <w:t>[FECHA DEL OFICIO DE OBSERVACIONES]</w:t>
      </w:r>
      <w:r>
        <w:rPr>
          <w:rFonts w:ascii="Arial" w:hAnsi="Arial"/>
          <w:b w:val="0"/>
          <w:i w:val="0"/>
          <w:sz w:val="24"/>
        </w:rPr>
        <w:t>: o de la última acta parcial, según el tipo de revisión.</w:t>
      </w:r>
    </w:p>
    <w:p/>
    <w:p>
      <w:pPr>
        <w:spacing w:line="360" w:lineRule="auto"/>
        <w:jc w:val="both"/>
      </w:pPr>
      <w:r>
        <w:rPr>
          <w:rFonts w:ascii="Arial" w:hAnsi="Arial"/>
          <w:b/>
          <w:sz w:val="28"/>
        </w:rPr>
        <w:t>[NÚMERO ORDINAL DEL CONCEPTO] CONCEPTO DE IMPUGNACIÓN. Ilegalidad de la resolución impugnada y de la originalmente recurrida, porque la autoridad fiscalizadora omitió dar a conocer a la parte actora, de manera circunstanciada y por escrito, los hechos y omisiones detectados durante la [TIPO DE REVISIÓN FISCAL], en contravención del artículo 42, quinto y penúltimo párrafos, del Código Fiscal de la Federación, lo que actualiza la causal de ilegalidad prevista en el artículo 51, fracción III, de la Ley Federal de Procedimiento Contencioso Administrativo.</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Se demostrará que el procedimiento de fiscalización del que derivó la resolución determinante padece un vicio que afectó las defensas de la parte actora y trascendió al sentido de la resolución: la autoridad fiscalizadora nunca dio a conocer, de manera circunstanciada y por escrito, los hechos y omisiones que detectó durante la revisión, pese a que el artículo 42, quinto y penúltimo párrafos, del Código Fiscal de la Federación se lo ordenaba antes de emitir el oficio de observaciones. Ante la negativa lisa y llana que aquí se formula, corresponde a la demandada probar ese hecho, y no está en aptitud de hacerlo.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impugnada es la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LA RESOLUCIÓN IMPUGNADA]</w:t>
      </w:r>
      <w:r>
        <w:rPr>
          <w:rFonts w:ascii="Arial" w:hAnsi="Arial"/>
          <w:b w:val="0"/>
          <w:i w:val="0"/>
          <w:sz w:val="28"/>
        </w:rPr>
        <w:t xml:space="preserve">, por la cual la </w:t>
      </w:r>
      <w:r>
        <w:rPr>
          <w:rFonts w:ascii="Arial" w:hAnsi="Arial"/>
          <w:b/>
          <w:i w:val="0"/>
          <w:sz w:val="28"/>
        </w:rPr>
        <w:t>[AUTORIDAD QUE RESOLVIÓ EL RECURSO DE REVOCACIÓN]</w:t>
      </w:r>
      <w:r>
        <w:rPr>
          <w:rFonts w:ascii="Arial" w:hAnsi="Arial"/>
          <w:b w:val="0"/>
          <w:i w:val="0"/>
          <w:sz w:val="28"/>
        </w:rPr>
        <w:t xml:space="preserve"> confirmó la resolución determinante contenida en el oficio </w:t>
      </w:r>
      <w:r>
        <w:rPr>
          <w:rFonts w:ascii="Arial" w:hAnsi="Arial"/>
          <w:b/>
          <w:i w:val="0"/>
          <w:sz w:val="28"/>
        </w:rPr>
        <w:t>[NÚMERO DE OFICIO DE LA RESOLUCIÓN DETERMINANTE]</w:t>
      </w:r>
      <w:r>
        <w:rPr>
          <w:rFonts w:ascii="Arial" w:hAnsi="Arial"/>
          <w:b w:val="0"/>
          <w:i w:val="0"/>
          <w:sz w:val="28"/>
        </w:rPr>
        <w:t xml:space="preserve">, emitida por la </w:t>
      </w:r>
      <w:r>
        <w:rPr>
          <w:rFonts w:ascii="Arial" w:hAnsi="Arial"/>
          <w:b/>
          <w:i w:val="0"/>
          <w:sz w:val="28"/>
        </w:rPr>
        <w:t>[AUTORIDAD FISCALIZADORA]</w:t>
      </w:r>
      <w:r>
        <w:rPr>
          <w:rFonts w:ascii="Arial" w:hAnsi="Arial"/>
          <w:b w:val="0"/>
          <w:i w:val="0"/>
          <w:sz w:val="28"/>
        </w:rPr>
        <w:t xml:space="preserve">, que fincó a </w:t>
      </w:r>
      <w:r>
        <w:rPr>
          <w:rFonts w:ascii="Arial" w:hAnsi="Arial"/>
          <w:b/>
          <w:i w:val="0"/>
          <w:sz w:val="28"/>
        </w:rPr>
        <w:t>[NOMBRE O RAZÓN SOCIAL DE LA PARTE ACTORA]</w:t>
      </w:r>
      <w:r>
        <w:rPr>
          <w:rFonts w:ascii="Arial" w:hAnsi="Arial"/>
          <w:b w:val="0"/>
          <w:i w:val="0"/>
          <w:sz w:val="28"/>
        </w:rPr>
        <w:t xml:space="preserve"> un crédito fiscal en cantidad de </w:t>
      </w:r>
      <w:r>
        <w:rPr>
          <w:rFonts w:ascii="Arial" w:hAnsi="Arial"/>
          <w:b/>
          <w:i w:val="0"/>
          <w:sz w:val="28"/>
        </w:rPr>
        <w:t>[MONTO DEL CRÉDITO FISCAL]</w:t>
      </w:r>
      <w:r>
        <w:rPr>
          <w:rFonts w:ascii="Arial" w:hAnsi="Arial"/>
          <w:b w:val="0"/>
          <w:i w:val="0"/>
          <w:sz w:val="28"/>
        </w:rPr>
        <w:t xml:space="preserve">, por concepto de </w:t>
      </w:r>
      <w:r>
        <w:rPr>
          <w:rFonts w:ascii="Arial" w:hAnsi="Arial"/>
          <w:b/>
          <w:i w:val="0"/>
          <w:sz w:val="28"/>
        </w:rPr>
        <w:t>[CONTRIBUCIÓN Y EJERCICIO REVISADOS]</w:t>
      </w:r>
      <w:r>
        <w:rPr>
          <w:rFonts w:ascii="Arial" w:hAnsi="Arial"/>
          <w:b w:val="0"/>
          <w:i w:val="0"/>
          <w:sz w:val="28"/>
        </w:rPr>
        <w:t>.</w:t>
      </w:r>
    </w:p>
    <w:p>
      <w:pPr>
        <w:spacing w:line="360" w:lineRule="auto"/>
        <w:jc w:val="both"/>
      </w:pPr>
      <w:r>
        <w:rPr>
          <w:rFonts w:ascii="Arial" w:hAnsi="Arial"/>
          <w:b w:val="0"/>
          <w:i w:val="0"/>
          <w:sz w:val="28"/>
        </w:rPr>
        <w:t>Conforme a los artículos 1o, segundo párrafo, y 50, penúltimo párrafo, de la Ley Federal de Procedimiento Contencioso Administrativo, en este juicio opera el principio de litis abierta: al controvertirse la resolución recaída a un recurso de revocación, se entiende simultáneamente impugnada la resolución recurrida en la parte que continúa afectando a la parte actora, y esa Sala debe estudiar tanto los argumentos novedosos como los reiterativos de la instancia administrativa. Por ello, el presente concepto se dirige contra el procedimiento del que emanó la resolución originalmente recurrida.</w:t>
      </w:r>
    </w:p>
    <w:p>
      <w:pPr>
        <w:spacing w:line="360" w:lineRule="auto"/>
        <w:jc w:val="both"/>
      </w:pPr>
      <w:r>
        <w:rPr>
          <w:rFonts w:ascii="Arial" w:hAnsi="Arial"/>
          <w:b w:val="0"/>
          <w:i w:val="0"/>
          <w:sz w:val="28"/>
        </w:rPr>
        <w:t xml:space="preserve">El vicio es el siguiente: durante la </w:t>
      </w:r>
      <w:r>
        <w:rPr>
          <w:rFonts w:ascii="Arial" w:hAnsi="Arial"/>
          <w:b/>
          <w:i w:val="0"/>
          <w:sz w:val="28"/>
        </w:rPr>
        <w:t>[TIPO DE REVISIÓN FISCAL]</w:t>
      </w:r>
      <w:r>
        <w:rPr>
          <w:rFonts w:ascii="Arial" w:hAnsi="Arial"/>
          <w:b w:val="0"/>
          <w:i w:val="0"/>
          <w:sz w:val="28"/>
        </w:rPr>
        <w:t xml:space="preserve"> iniciada mediante el oficio </w:t>
      </w:r>
      <w:r>
        <w:rPr>
          <w:rFonts w:ascii="Arial" w:hAnsi="Arial"/>
          <w:b/>
          <w:i w:val="0"/>
          <w:sz w:val="28"/>
        </w:rPr>
        <w:t>[NÚMERO DE OFICIO DE LA ORDEN DE REVISIÓN]</w:t>
      </w:r>
      <w:r>
        <w:rPr>
          <w:rFonts w:ascii="Arial" w:hAnsi="Arial"/>
          <w:b w:val="0"/>
          <w:i w:val="0"/>
          <w:sz w:val="28"/>
        </w:rPr>
        <w:t xml:space="preserve">, la autoridad estaba obligada a informar a la contribuyente, antes de emitir el oficio de observaciones o la última acta parcial, los hechos y omisiones que </w:t>
      </w:r>
      <w:r>
        <w:rPr>
          <w:rFonts w:ascii="Arial" w:hAnsi="Arial"/>
          <w:b w:val="0"/>
          <w:i/>
          <w:sz w:val="28"/>
        </w:rPr>
        <w:t>«puedan entrañar un incumplimiento en el pago de contribuciones»</w:t>
      </w:r>
      <w:r>
        <w:rPr>
          <w:rFonts w:ascii="Arial" w:hAnsi="Arial"/>
          <w:b w:val="0"/>
          <w:i w:val="0"/>
          <w:sz w:val="28"/>
        </w:rPr>
        <w:t xml:space="preserve">, levantando previamente un acta circunstanciada. No lo hizo: la diligencia de </w:t>
      </w:r>
      <w:r>
        <w:rPr>
          <w:rFonts w:ascii="Arial" w:hAnsi="Arial"/>
          <w:b/>
          <w:i w:val="0"/>
          <w:sz w:val="28"/>
        </w:rPr>
        <w:t>[FECHA DE LA DILIGENCIA DE COMPARECENCIA]</w:t>
      </w:r>
      <w:r>
        <w:rPr>
          <w:rFonts w:ascii="Arial" w:hAnsi="Arial"/>
          <w:b w:val="0"/>
          <w:i w:val="0"/>
          <w:sz w:val="28"/>
        </w:rPr>
        <w:t xml:space="preserve"> se limitó a dejar constancia de la asistencia del representante de la actora, sin pormenorizar hecho u omisión alguno.</w:t>
      </w:r>
    </w:p>
    <w:p>
      <w:pPr>
        <w:spacing w:line="360" w:lineRule="auto"/>
        <w:jc w:val="both"/>
      </w:pPr>
      <w:r>
        <w:rPr>
          <w:rFonts w:ascii="Arial" w:hAnsi="Arial"/>
          <w:b w:val="0"/>
          <w:i w:val="0"/>
          <w:sz w:val="28"/>
        </w:rPr>
        <w:t xml:space="preserve">En consecuencia, la parte actora niega lisa y llanamente que la </w:t>
      </w:r>
      <w:r>
        <w:rPr>
          <w:rFonts w:ascii="Arial" w:hAnsi="Arial"/>
          <w:b/>
          <w:i w:val="0"/>
          <w:sz w:val="28"/>
        </w:rPr>
        <w:t>[AUTORIDAD FISCALIZADORA]</w:t>
      </w:r>
      <w:r>
        <w:rPr>
          <w:rFonts w:ascii="Arial" w:hAnsi="Arial"/>
          <w:b w:val="0"/>
          <w:i w:val="0"/>
          <w:sz w:val="28"/>
        </w:rPr>
        <w:t xml:space="preserve"> le haya dado a conocer, de manera circunstanciada, pormenorizada y por escrito, los hechos y omisiones detectados durante el procedimiento de fiscalización. Esta negativa no implica la afirmación de otro hecho, de modo que, conforme a los artículos 68 del Código Fiscal de la Federación y 40 y 42 de la Ley Federal de Procedimiento Contencioso Administrativo, corresponde a las autoridades demandadas la carga de probar ese hecho positivo, exhibiendo el acta circunstanciada respectiva con su contenido pormenorizado.</w:t>
      </w:r>
    </w:p>
    <w:p>
      <w:pPr>
        <w:spacing w:line="360" w:lineRule="auto"/>
        <w:jc w:val="both"/>
      </w:pPr>
      <w:r>
        <w:rPr>
          <w:rFonts w:ascii="Arial" w:hAnsi="Arial"/>
          <w:b w:val="0"/>
          <w:i w:val="0"/>
          <w:sz w:val="28"/>
        </w:rPr>
        <w:t>El perjuicio es directo: al ignorar cuáles eran los hechos y omisiones imputados, la parte actora no pudo evaluar oportunamente si le convenía corregir su situación fiscal, solicitar un acuerdo conclusivo o preparar su defensa desde esa fase del procedimiento, beneficios cuya pérdida trascendió al sentido de la resolución determinante y, por extensión, al de la resolución impugnada que la confirmó.</w:t>
      </w:r>
    </w:p>
    <w:p>
      <w:pPr>
        <w:spacing w:line="360" w:lineRule="auto"/>
        <w:jc w:val="both"/>
      </w:pPr>
      <w:r>
        <w:rPr>
          <w:rFonts w:ascii="Arial" w:hAnsi="Arial"/>
          <w:b/>
          <w:sz w:val="28"/>
        </w:rPr>
        <w:t>III. Desarrollo doctrinal. La premisa mayor normativa.</w:t>
      </w:r>
    </w:p>
    <w:p>
      <w:pPr>
        <w:spacing w:line="360" w:lineRule="auto"/>
        <w:jc w:val="both"/>
      </w:pPr>
      <w:r>
        <w:rPr>
          <w:rFonts w:ascii="Arial" w:hAnsi="Arial"/>
          <w:b w:val="0"/>
          <w:i w:val="0"/>
          <w:sz w:val="28"/>
        </w:rPr>
        <w:t>Los artículos 14 y 16 de la Constitución Política de los Estados Unidos Mexicanos imponen a toda autoridad el respeto a la garantía de audiencia y al principio de seguridad jurídica. La doctrina procesal constitucional explica que la garantía de audiencia se integra por el conjunto de formalidades esenciales del procedimiento, cuya observancia permite que las personas gobernadas cuenten con una defensa adecuada antes de que un acto de autoridad modifique su esfera jurídica en forma definitiva.</w:t>
      </w:r>
      <w:r>
        <w:rPr>
          <w:rFonts w:ascii="Arial" w:hAnsi="Arial"/>
          <w:vertAlign w:val="superscript"/>
        </w:rPr>
        <w:t>1</w:t>
      </w:r>
    </w:p>
    <w:p>
      <w:pPr>
        <w:spacing w:line="360" w:lineRule="auto"/>
        <w:jc w:val="both"/>
      </w:pPr>
      <w:r>
        <w:rPr>
          <w:rFonts w:ascii="Arial" w:hAnsi="Arial"/>
          <w:b w:val="0"/>
          <w:i w:val="0"/>
          <w:sz w:val="28"/>
        </w:rPr>
        <w:t>En el mismo sentido, la doctrina de la argumentación en el amparo precisa que, entre las garantías contenidas en el segundo párrafo del artículo 14 constitucional, destaca la relativa al respeto de las formalidades esenciales del procedimiento, también conocida como debido proceso legal.</w:t>
      </w:r>
      <w:r>
        <w:rPr>
          <w:rFonts w:ascii="Arial" w:hAnsi="Arial"/>
          <w:vertAlign w:val="superscript"/>
        </w:rPr>
        <w:t>2</w:t>
      </w:r>
      <w:r>
        <w:rPr>
          <w:rFonts w:ascii="Arial" w:hAnsi="Arial"/>
          <w:b w:val="0"/>
          <w:i w:val="0"/>
          <w:sz w:val="28"/>
        </w:rPr>
        <w:t xml:space="preserve"> Ese estándar no es exclusivo de los juicios: el núcleo duro del debido proceso debe observarse inexcusablemente en todo procedimiento jurisdiccional y en los procedimientos administrativos seguidos en forma de juicio.</w:t>
      </w:r>
      <w:r>
        <w:rPr>
          <w:rFonts w:ascii="Arial" w:hAnsi="Arial"/>
          <w:vertAlign w:val="superscript"/>
        </w:rPr>
        <w:t>3</w:t>
      </w:r>
    </w:p>
    <w:p>
      <w:pPr>
        <w:spacing w:line="360" w:lineRule="auto"/>
        <w:jc w:val="both"/>
      </w:pPr>
      <w:r>
        <w:rPr>
          <w:rFonts w:ascii="Arial" w:hAnsi="Arial"/>
          <w:b w:val="0"/>
          <w:i w:val="0"/>
          <w:sz w:val="28"/>
        </w:rPr>
        <w:t>Sobre esa base constitucional, el artículo 42, quinto párrafo, del Código Fiscal de la Federación obliga a las autoridades que ejerzan facultades de comprobación —entre ellas la revisión de gabinete, la visita domiciliaria y la revisión electrónica— a informar a la persona contribuyente, a su representante legal y, tratándose de personas morales, a sus órganos de dirección, con la anticipación que el propio precepto establece, el derecho que tienen a acudir a las oficinas donde se desarrolla el procedimiento para conocer los hechos y omisiones detectados.</w:t>
      </w:r>
    </w:p>
    <w:p>
      <w:pPr>
        <w:spacing w:line="360" w:lineRule="auto"/>
        <w:jc w:val="both"/>
      </w:pPr>
      <w:r>
        <w:rPr>
          <w:rFonts w:ascii="Arial" w:hAnsi="Arial"/>
          <w:b w:val="0"/>
          <w:i w:val="0"/>
          <w:sz w:val="28"/>
        </w:rPr>
        <w:t xml:space="preserve">El penúltimo párrafo del propio artículo 42 añade que, antes de emitir la última acta parcial o el oficio de observaciones, la autoridad deberá levantar un </w:t>
      </w:r>
      <w:r>
        <w:rPr>
          <w:rFonts w:ascii="Arial" w:hAnsi="Arial"/>
          <w:b w:val="0"/>
          <w:i/>
          <w:sz w:val="28"/>
        </w:rPr>
        <w:t>«acta circunstanciada»</w:t>
      </w:r>
      <w:r>
        <w:rPr>
          <w:rFonts w:ascii="Arial" w:hAnsi="Arial"/>
          <w:b w:val="0"/>
          <w:i w:val="0"/>
          <w:sz w:val="28"/>
        </w:rPr>
        <w:t xml:space="preserve"> en la que conste la asistencia o inasistencia de los interesados. Por su parte, la regla de la Resolución Miscelánea Fiscal vigente al momento en que inició la revisión dispone que las autoridades informarán el lugar, la fecha y la hora </w:t>
      </w:r>
      <w:r>
        <w:rPr>
          <w:rFonts w:ascii="Arial" w:hAnsi="Arial"/>
          <w:b w:val="0"/>
          <w:i/>
          <w:sz w:val="28"/>
        </w:rPr>
        <w:t>«a efecto de darles a conocer los hechos u omisiones detectados en el procedimiento de fiscalización»</w:t>
      </w:r>
      <w:r>
        <w:rPr>
          <w:rFonts w:ascii="Arial" w:hAnsi="Arial"/>
          <w:b w:val="0"/>
          <w:i w:val="0"/>
          <w:sz w:val="28"/>
        </w:rPr>
        <w:t xml:space="preserve">, con el propósito expreso de que las personas contribuyentes </w:t>
      </w:r>
      <w:r>
        <w:rPr>
          <w:rFonts w:ascii="Arial" w:hAnsi="Arial"/>
          <w:b w:val="0"/>
          <w:i/>
          <w:sz w:val="28"/>
        </w:rPr>
        <w:t>«puedan optar por corregir su situación fiscal»</w:t>
      </w:r>
      <w:r>
        <w:rPr>
          <w:rFonts w:ascii="Arial" w:hAnsi="Arial"/>
          <w:b w:val="0"/>
          <w:i w:val="0"/>
          <w:sz w:val="28"/>
        </w:rPr>
        <w:t>.</w:t>
      </w:r>
    </w:p>
    <w:p>
      <w:pPr>
        <w:spacing w:line="360" w:lineRule="auto"/>
        <w:jc w:val="both"/>
      </w:pPr>
      <w:r>
        <w:rPr>
          <w:rFonts w:ascii="Arial" w:hAnsi="Arial"/>
          <w:b w:val="0"/>
          <w:i w:val="0"/>
          <w:sz w:val="28"/>
        </w:rPr>
        <w:t xml:space="preserve">La finalidad de estas normas no es ritual. Como se expresó en la exposición de motivos de la reforma que incorporó la obligación al artículo 42, publicada en el Diario Oficial de la Federación el nueve de diciembre de dos mil trece, se trata de </w:t>
      </w:r>
      <w:r>
        <w:rPr>
          <w:rFonts w:ascii="Arial" w:hAnsi="Arial"/>
          <w:b w:val="0"/>
          <w:i/>
          <w:sz w:val="28"/>
        </w:rPr>
        <w:t>«un auténtico derecho para los contribuyentes»</w:t>
      </w:r>
      <w:r>
        <w:rPr>
          <w:rFonts w:ascii="Arial" w:hAnsi="Arial"/>
          <w:b w:val="0"/>
          <w:i w:val="0"/>
          <w:sz w:val="28"/>
        </w:rPr>
        <w:t xml:space="preserve">, pues antes de ella sólo conocían su situación fiscal al final de los medios de fiscalización; la comunicación oportuna permite una mejor interlocución con la autoridad y, en su caso, </w:t>
      </w:r>
      <w:r>
        <w:rPr>
          <w:rFonts w:ascii="Arial" w:hAnsi="Arial"/>
          <w:b w:val="0"/>
          <w:i/>
          <w:sz w:val="28"/>
        </w:rPr>
        <w:t>«proceder a mecanismos alternos como los acuerdos conclusivos o la autocorrección»</w:t>
      </w:r>
      <w:r>
        <w:rPr>
          <w:rFonts w:ascii="Arial" w:hAnsi="Arial"/>
          <w:b w:val="0"/>
          <w:i w:val="0"/>
          <w:sz w:val="28"/>
        </w:rPr>
        <w:t>.</w:t>
      </w:r>
    </w:p>
    <w:p>
      <w:pPr>
        <w:spacing w:line="360" w:lineRule="auto"/>
        <w:jc w:val="both"/>
      </w:pPr>
      <w:r>
        <w:rPr>
          <w:rFonts w:ascii="Arial" w:hAnsi="Arial"/>
          <w:b w:val="0"/>
          <w:i w:val="0"/>
          <w:sz w:val="28"/>
        </w:rPr>
        <w:t>A ello se suma el artículo 38, fracción I, del Código Fiscal de la Federación, conforme al cual los actos administrativos que deban notificarse han de constar por escrito. Una comunicación meramente verbal de los hechos y omisiones carece de certeza jurídica: la persona contribuyente no sabe a qué atenerse ni puede contrastar, documento en mano, las imputaciones de la autoridad con su propia contabilidad. Sólo la constancia escrita y pormenorizada satisface el propósito de la norma, como lo ha reconocido la Sala en casos análogos al examinar actas de comparecencia que nada pormenorizan.</w:t>
      </w:r>
    </w:p>
    <w:p>
      <w:pPr>
        <w:spacing w:line="360" w:lineRule="auto"/>
        <w:jc w:val="both"/>
      </w:pPr>
      <w:r>
        <w:rPr>
          <w:rFonts w:ascii="Arial" w:hAnsi="Arial"/>
          <w:b w:val="0"/>
          <w:i w:val="0"/>
          <w:sz w:val="28"/>
        </w:rPr>
        <w:t>Cierra la premisa mayor el régimen probatorio del juicio contencioso administrativo federal. Los artículos 40 y 42 de la Ley Federal de Procedimiento Contencioso Administrativo y 68 del Código Fiscal de la Federación disponen que los actos administrativos se presumen legales, pero que las autoridades deberán probar los hechos que los motiven cuando la persona afectada los niegue lisa y llanamente, a menos que la negativa implique la afirmación de otro hecho. La presunción de legalidad, por tanto, no es un escudo absoluto: cede frente a la negativa lisa y llana y desplaza la carga de la prueba a la demandada.</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La premisa menor está acreditada en autos. La </w:t>
      </w:r>
      <w:r>
        <w:rPr>
          <w:rFonts w:ascii="Arial" w:hAnsi="Arial"/>
          <w:b/>
          <w:i w:val="0"/>
          <w:sz w:val="28"/>
        </w:rPr>
        <w:t>[AUTORIDAD FISCALIZADORA]</w:t>
      </w:r>
      <w:r>
        <w:rPr>
          <w:rFonts w:ascii="Arial" w:hAnsi="Arial"/>
          <w:b w:val="0"/>
          <w:i w:val="0"/>
          <w:sz w:val="28"/>
        </w:rPr>
        <w:t xml:space="preserve"> inició la </w:t>
      </w:r>
      <w:r>
        <w:rPr>
          <w:rFonts w:ascii="Arial" w:hAnsi="Arial"/>
          <w:b/>
          <w:i w:val="0"/>
          <w:sz w:val="28"/>
        </w:rPr>
        <w:t>[TIPO DE REVISIÓN FISCAL]</w:t>
      </w:r>
      <w:r>
        <w:rPr>
          <w:rFonts w:ascii="Arial" w:hAnsi="Arial"/>
          <w:b w:val="0"/>
          <w:i w:val="0"/>
          <w:sz w:val="28"/>
        </w:rPr>
        <w:t xml:space="preserve"> mediante el oficio </w:t>
      </w:r>
      <w:r>
        <w:rPr>
          <w:rFonts w:ascii="Arial" w:hAnsi="Arial"/>
          <w:b/>
          <w:i w:val="0"/>
          <w:sz w:val="28"/>
        </w:rPr>
        <w:t>[NÚMERO DE OFICIO DE LA ORDEN DE REVISIÓN]</w:t>
      </w:r>
      <w:r>
        <w:rPr>
          <w:rFonts w:ascii="Arial" w:hAnsi="Arial"/>
          <w:b w:val="0"/>
          <w:i w:val="0"/>
          <w:sz w:val="28"/>
        </w:rPr>
        <w:t xml:space="preserve">; citó a la contribuyente a una diligencia de comunicación de hechos y omisiones; levantó, en su caso, un acta de comparecencia el </w:t>
      </w:r>
      <w:r>
        <w:rPr>
          <w:rFonts w:ascii="Arial" w:hAnsi="Arial"/>
          <w:b/>
          <w:i w:val="0"/>
          <w:sz w:val="28"/>
        </w:rPr>
        <w:t>[FECHA DE LA DILIGENCIA DE COMPARECENCIA]</w:t>
      </w:r>
      <w:r>
        <w:rPr>
          <w:rFonts w:ascii="Arial" w:hAnsi="Arial"/>
          <w:b w:val="0"/>
          <w:i w:val="0"/>
          <w:sz w:val="28"/>
        </w:rPr>
        <w:t xml:space="preserve">; emitió el oficio de observaciones el </w:t>
      </w:r>
      <w:r>
        <w:rPr>
          <w:rFonts w:ascii="Arial" w:hAnsi="Arial"/>
          <w:b/>
          <w:i w:val="0"/>
          <w:sz w:val="28"/>
        </w:rPr>
        <w:t>[FECHA DEL OFICIO DE OBSERVACIONES]</w:t>
      </w:r>
      <w:r>
        <w:rPr>
          <w:rFonts w:ascii="Arial" w:hAnsi="Arial"/>
          <w:b w:val="0"/>
          <w:i w:val="0"/>
          <w:sz w:val="28"/>
        </w:rPr>
        <w:t>; y culminó con la resolución determinante. En ninguna de esas actuaciones consta que los hechos y omisiones se hayan comunicado de manera circunstanciada y por escrito.</w:t>
      </w:r>
    </w:p>
    <w:p>
      <w:pPr>
        <w:spacing w:line="360" w:lineRule="auto"/>
        <w:jc w:val="both"/>
      </w:pPr>
      <w:r>
        <w:rPr>
          <w:rFonts w:ascii="Arial" w:hAnsi="Arial"/>
          <w:b w:val="0"/>
          <w:i w:val="0"/>
          <w:sz w:val="28"/>
        </w:rPr>
        <w:t>Frente a la negativa lisa y llana aquí formulada, la única forma en que la demandada podría desvirtuarla sería exhibiendo el acta circunstanciada en la que consten, pormenorizados, los hechos y omisiones comunicados. Si no la exhibe con su contestación, o si la que exhibe se limita a consignar la asistencia del compareciente, la consecuencia jurídica es inexorable: el hecho negado debe tenerse por no demostrado y el vicio de procedimiento queda evidenciado.</w:t>
      </w:r>
    </w:p>
    <w:p>
      <w:pPr>
        <w:spacing w:line="360" w:lineRule="auto"/>
        <w:jc w:val="both"/>
      </w:pPr>
      <w:r>
        <w:rPr>
          <w:rFonts w:ascii="Arial" w:hAnsi="Arial"/>
          <w:b w:val="0"/>
          <w:i w:val="0"/>
          <w:sz w:val="28"/>
        </w:rPr>
        <w:t>Cobra relevancia, además, el expediente administrativo. Si, ofrecido como prueba y requerida su exhibición a la demandada al contestar, el acta circunstanciada pormenorizada no aparece en él, esa ausencia corrobora objetivamente la negativa de la parte actora: un documento que cumpliera la obligación legal tendría que obrar, forzosamente, en el expediente del que emanó la liquidación, pues constituye una actuación del propio procedimiento fiscalizador.</w:t>
      </w:r>
    </w:p>
    <w:p>
      <w:pPr>
        <w:spacing w:line="360" w:lineRule="auto"/>
        <w:jc w:val="both"/>
      </w:pPr>
      <w:r>
        <w:rPr>
          <w:rFonts w:ascii="Arial" w:hAnsi="Arial"/>
          <w:b w:val="0"/>
          <w:i w:val="0"/>
          <w:sz w:val="28"/>
        </w:rPr>
        <w:t>Es previsible que la autoridad sostenga, como suele hacerlo, que la obligación quedó colmada porque el representante de la contribuyente compareció a las oficinas y firmó el acta respectiva. Ese razonamiento incurre en la falacia conocida como non sequitur, denominación genérica de los argumentos en los que la conclusión no se sigue de las premisas.</w:t>
      </w:r>
      <w:r>
        <w:rPr>
          <w:rFonts w:ascii="Arial" w:hAnsi="Arial"/>
          <w:vertAlign w:val="superscript"/>
        </w:rPr>
        <w:t>4</w:t>
      </w:r>
      <w:r>
        <w:rPr>
          <w:rFonts w:ascii="Arial" w:hAnsi="Arial"/>
          <w:b w:val="0"/>
          <w:i w:val="0"/>
          <w:sz w:val="28"/>
        </w:rPr>
        <w:t xml:space="preserve"> Del hecho cierto de la comparecencia no se sigue la conclusión de que en esa diligencia se hayan comunicado pormenorizadamente los hechos y omisiones: la asistencia prueba la presencia, no el contenido de la información.</w:t>
      </w:r>
    </w:p>
    <w:p>
      <w:pPr>
        <w:spacing w:line="360" w:lineRule="auto"/>
        <w:jc w:val="both"/>
      </w:pPr>
      <w:r>
        <w:rPr>
          <w:rFonts w:ascii="Arial" w:hAnsi="Arial"/>
          <w:b w:val="0"/>
          <w:i w:val="0"/>
          <w:sz w:val="28"/>
        </w:rPr>
        <w:t>La doctrina especializada precisa que esa denominación se aplica, en sentido amplio, a cualquier razonamiento inconsecuente.</w:t>
      </w:r>
      <w:r>
        <w:rPr>
          <w:rFonts w:ascii="Arial" w:hAnsi="Arial"/>
          <w:vertAlign w:val="superscript"/>
        </w:rPr>
        <w:t>5</w:t>
      </w:r>
      <w:r>
        <w:rPr>
          <w:rFonts w:ascii="Arial" w:hAnsi="Arial"/>
          <w:b w:val="0"/>
          <w:i w:val="0"/>
          <w:sz w:val="28"/>
        </w:rPr>
        <w:t xml:space="preserve"> Aquí lo es porque confunde el continente con el contenido: la obligación legal no se agota con la existencia de la diligencia, sino con lo que en ella se haya informado y quedado asentado por escrito, de manera circunstanciada y con detalle suficiente para permitir la autocorrección o el acuerdo conclusivo. Un acta que no consigna ese detalle deja intacto el hecho negado.</w:t>
      </w:r>
    </w:p>
    <w:p>
      <w:pPr>
        <w:spacing w:line="360" w:lineRule="auto"/>
        <w:jc w:val="both"/>
      </w:pPr>
      <w:r>
        <w:rPr>
          <w:rFonts w:ascii="Arial" w:hAnsi="Arial"/>
          <w:b w:val="0"/>
          <w:i w:val="0"/>
          <w:sz w:val="28"/>
        </w:rPr>
        <w:t>Si, además, la demandada pretendiera apoyarse en la presunción de legalidad de sus actos para tener por cierto que la información sí se proporcionó, incurriría en una petición de principio, falacia que consiste en incluir en las premisas, explícita o implícitamente, aquello mismo que se trata de probar.</w:t>
      </w:r>
      <w:r>
        <w:rPr>
          <w:rFonts w:ascii="Arial" w:hAnsi="Arial"/>
          <w:vertAlign w:val="superscript"/>
        </w:rPr>
        <w:t>6</w:t>
      </w:r>
      <w:r>
        <w:rPr>
          <w:rFonts w:ascii="Arial" w:hAnsi="Arial"/>
          <w:b w:val="0"/>
          <w:i w:val="0"/>
          <w:sz w:val="28"/>
        </w:rPr>
        <w:t xml:space="preserve"> La legalidad del acto es justamente lo controvertido: ante la negativa lisa y llana, la ley priva a la autoridad de esa presunción y le impone demostrar el hecho negado con el acta misma; invocar la presunción como si fuera prueba es dar por demostrado lo que debía demostrarse.</w:t>
      </w:r>
    </w:p>
    <w:p>
      <w:pPr>
        <w:spacing w:line="360" w:lineRule="auto"/>
        <w:jc w:val="both"/>
      </w:pPr>
      <w:r>
        <w:rPr>
          <w:rFonts w:ascii="Arial" w:hAnsi="Arial"/>
          <w:b w:val="0"/>
          <w:i w:val="0"/>
          <w:sz w:val="28"/>
        </w:rPr>
        <w:t>La trascendencia del vicio al sentido de la resolución es igualmente clara. De haber conocido oportunamente, por escrito y con detalle, los hechos y omisiones imputados, la parte actora habría estado en aptitud de corregir su situación fiscal, de solicitar un acuerdo conclusivo o de desvirtuar las observaciones desde la fase administrativa, escenarios que podían conducir a una resolución distinta o a la inexistencia misma de la liquidación. La omisión afectó sus defensas y trascendió al resultado del procedimiento, que es exactamente el estándar que el artículo 51, fracción III, de la ley de la materia exige.</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El silogismo está completo. La premisa mayor: el artículo 42, quinto y penúltimo párrafos, del Código Fiscal de la Federación, leído con la regla miscelánea aplicable y con las garantías de audiencia y seguridad jurídica, obliga a comunicar por escrito y pormenorizadamente los hechos y omisiones detectados antes del oficio de observaciones. La premisa menor: la autoridad no acreditó haberlo hecho y, frente a la negativa lisa y llana, la carga probatoria era suya. La conclusión: el procedimiento está viciado y ese vicio trascendió al sentido de la resolución determinante y de la que la confirmó.</w:t>
      </w:r>
    </w:p>
    <w:p>
      <w:pPr>
        <w:spacing w:line="360" w:lineRule="auto"/>
        <w:jc w:val="both"/>
      </w:pPr>
      <w:r>
        <w:rPr>
          <w:rFonts w:ascii="Arial" w:hAnsi="Arial"/>
          <w:b w:val="0"/>
          <w:i w:val="0"/>
          <w:sz w:val="28"/>
        </w:rPr>
        <w:t>Por lo expuesto, con fundamento en los artículos 50, 51, fracción III, y 52, fracción IV, de la Ley Federal de Procedimiento Contencioso Administrativo, se solicita a esa Sala declarar fundado este concepto de impugnación y decretar la nulidad de la resolución impugnada y de la originalmente recurrida, para el efecto de que la autoridad, de estimarlo procedente en ejercicio de sus facultades, reponga el procedimiento y levante un acta circunstanciada que pormenorice los hechos y omisiones advertidos, restituyendo a la parte actora los derechos que la comunicación omitida le arrebató.</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537.</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178.</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345.</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165.</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TRON PETIT, op. cit.</w:t>
      </w:r>
      <w:r>
        <w:rPr>
          <w:rFonts w:ascii="Arial" w:hAnsi="Arial"/>
          <w:i w:val="0"/>
          <w:sz w:val="20"/>
        </w:rPr>
        <w:t>, p. 34.</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