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sz w:val="28"/>
        </w:rPr>
        <w:t>MACHOTE. DEMANDA DE NULIDAD TFJA. INCOMPETENCIA SOBREVENIDA POR LA REFORMA DE 2025 Y DERECHOS PROCESALES ADQUIRIDOS</w:t>
      </w:r>
    </w:p>
    <w:p>
      <w:pPr>
        <w:jc w:val="center"/>
      </w:pPr>
      <w:r>
        <w:rPr>
          <w:rFonts w:ascii="Arial" w:hAnsi="Arial"/>
          <w:sz w:val="20"/>
        </w:rPr>
        <w:t>Machote gratuito de Academia de Amparo y Derecho — academiadeamparo.com</w:t>
      </w:r>
    </w:p>
    <w:p/>
    <w:p>
      <w:r>
        <w:rPr>
          <w:rFonts w:ascii="Arial" w:hAnsi="Arial"/>
          <w:b/>
          <w:sz w:val="24"/>
        </w:rPr>
        <w:t>CÓMO USAR ESTE MACHOTE</w:t>
      </w:r>
    </w:p>
    <w:p>
      <w:pPr>
        <w:spacing w:line="360" w:lineRule="auto"/>
        <w:jc w:val="both"/>
      </w:pPr>
      <w:r>
        <w:rPr>
          <w:rFonts w:ascii="Arial" w:hAnsi="Arial"/>
          <w:b w:val="0"/>
          <w:i w:val="0"/>
          <w:sz w:val="24"/>
        </w:rPr>
        <w:t>Descarga el machote, léelo completo y ubícalo en el escrito correcto: si la autoridad opuso la incompetencia sobrevenida después de admitida tu demanda, preséntalo al desahogar la vista de la causal y reprodúcelo en alegatos; si la demanda todavía no se presenta, colócalo como apartado previo de procedencia.</w:t>
      </w:r>
    </w:p>
    <w:p>
      <w:pPr>
        <w:spacing w:line="360" w:lineRule="auto"/>
        <w:jc w:val="both"/>
      </w:pPr>
      <w:r>
        <w:rPr>
          <w:rFonts w:ascii="Arial" w:hAnsi="Arial"/>
          <w:b w:val="0"/>
          <w:i w:val="0"/>
          <w:sz w:val="24"/>
        </w:rPr>
        <w:t>Antes de rellenar, reconstruye la línea procesal con las fechas de presentación, admisión, contestación, ampliación y cierre de instrucción, y confirma que todas sean anteriores al 16 de octubre de 2025. Verifica también la situación del crédito: si nunca fue impugnado o no existe resolución que lo declare firme, conserva el párrafo de lectura literal de la excepción; si fue impugnado y quedó firme, evalúa el riesgo.</w:t>
      </w:r>
    </w:p>
    <w:p>
      <w:pPr>
        <w:spacing w:line="360" w:lineRule="auto"/>
        <w:jc w:val="both"/>
      </w:pPr>
      <w:r>
        <w:rPr>
          <w:rFonts w:ascii="Arial" w:hAnsi="Arial"/>
          <w:b w:val="0"/>
          <w:i w:val="0"/>
          <w:sz w:val="24"/>
        </w:rPr>
        <w:t>El fondo de la prescripción se redacta en un concepto de impugnación separado, al que este apartado remite. Recuerda que la demanda de nulidad se presenta en treinta días (artículo 58-2, párrafo tercero, de la Ley Federal de Procedimiento Contencioso Administrativo, plazo que rige también en la vía sumaria).</w:t>
      </w:r>
    </w:p>
    <w:p>
      <w:pPr>
        <w:spacing w:line="360" w:lineRule="auto"/>
        <w:jc w:val="both"/>
      </w:pPr>
      <w:r>
        <w:rPr>
          <w:rFonts w:ascii="Arial" w:hAnsi="Arial"/>
          <w:b w:val="0"/>
          <w:i w:val="0"/>
          <w:sz w:val="24"/>
        </w:rPr>
        <w:t>Campos editables y qué poner en cada uno:</w:t>
      </w:r>
    </w:p>
    <w:p>
      <w:pPr>
        <w:spacing w:line="360" w:lineRule="auto"/>
        <w:jc w:val="both"/>
      </w:pPr>
      <w:r>
        <w:rPr>
          <w:rFonts w:ascii="Arial" w:hAnsi="Arial"/>
          <w:b/>
          <w:i w:val="0"/>
          <w:sz w:val="24"/>
        </w:rPr>
        <w:t>[NÚMERO ORDINAL DEL CONCEPTO]</w:t>
      </w:r>
      <w:r>
        <w:rPr>
          <w:rFonts w:ascii="Arial" w:hAnsi="Arial"/>
          <w:b w:val="0"/>
          <w:i w:val="0"/>
          <w:sz w:val="24"/>
        </w:rPr>
        <w:t xml:space="preserve">: el ordinal que le corresponda en tu escrito (PRIMERO, SEGUNDO…) o la palabra </w:t>
      </w:r>
      <w:r>
        <w:rPr>
          <w:rFonts w:ascii="Arial" w:hAnsi="Arial"/>
          <w:b w:val="0"/>
          <w:i/>
          <w:sz w:val="24"/>
        </w:rPr>
        <w:t>«ÚNICO»</w:t>
      </w:r>
      <w:r>
        <w:rPr>
          <w:rFonts w:ascii="Arial" w:hAnsi="Arial"/>
          <w:b w:val="0"/>
          <w:i w:val="0"/>
          <w:sz w:val="24"/>
        </w:rPr>
        <w:t xml:space="preserve"> si es el único apartado del desahogo de vista.</w:t>
      </w:r>
    </w:p>
    <w:p>
      <w:pPr>
        <w:spacing w:line="360" w:lineRule="auto"/>
        <w:jc w:val="both"/>
      </w:pPr>
      <w:r>
        <w:rPr>
          <w:rFonts w:ascii="Arial" w:hAnsi="Arial"/>
          <w:b/>
          <w:i w:val="0"/>
          <w:sz w:val="24"/>
        </w:rPr>
        <w:t>[AUTORIDAD DEMANDADA]</w:t>
      </w:r>
      <w:r>
        <w:rPr>
          <w:rFonts w:ascii="Arial" w:hAnsi="Arial"/>
          <w:b w:val="0"/>
          <w:i w:val="0"/>
          <w:sz w:val="24"/>
        </w:rPr>
        <w:t>: la unidad administrativa que emitió la negativa de prescripción, con su denominación completa.</w:t>
      </w:r>
    </w:p>
    <w:p>
      <w:pPr>
        <w:spacing w:line="360" w:lineRule="auto"/>
        <w:jc w:val="both"/>
      </w:pPr>
      <w:r>
        <w:rPr>
          <w:rFonts w:ascii="Arial" w:hAnsi="Arial"/>
          <w:b/>
          <w:i w:val="0"/>
          <w:sz w:val="24"/>
        </w:rPr>
        <w:t>[NOMBRE DE LA PARTE ACTORA]</w:t>
      </w:r>
      <w:r>
        <w:rPr>
          <w:rFonts w:ascii="Arial" w:hAnsi="Arial"/>
          <w:b w:val="0"/>
          <w:i w:val="0"/>
          <w:sz w:val="24"/>
        </w:rPr>
        <w:t>: la persona contribuyente que solicitó la prescripción y promovió el juicio.</w:t>
      </w:r>
    </w:p>
    <w:p>
      <w:pPr>
        <w:spacing w:line="360" w:lineRule="auto"/>
        <w:jc w:val="both"/>
      </w:pPr>
      <w:r>
        <w:rPr>
          <w:rFonts w:ascii="Arial" w:hAnsi="Arial"/>
          <w:b/>
          <w:i w:val="0"/>
          <w:sz w:val="24"/>
        </w:rPr>
        <w:t>[NÚMERO DE OFICIO DE LA RESOLUCIÓN IMPUGNADA]</w:t>
      </w:r>
      <w:r>
        <w:rPr>
          <w:rFonts w:ascii="Arial" w:hAnsi="Arial"/>
          <w:b w:val="0"/>
          <w:i w:val="0"/>
          <w:sz w:val="24"/>
        </w:rPr>
        <w:t>: número exacto del oficio que negó la prescripción.</w:t>
      </w:r>
    </w:p>
    <w:p>
      <w:pPr>
        <w:spacing w:line="360" w:lineRule="auto"/>
        <w:jc w:val="both"/>
      </w:pPr>
      <w:r>
        <w:rPr>
          <w:rFonts w:ascii="Arial" w:hAnsi="Arial"/>
          <w:b/>
          <w:i w:val="0"/>
          <w:sz w:val="24"/>
        </w:rPr>
        <w:t>[FECHA DE EMISIÓN DE LA RESOLUCIÓN IMPUGNADA]</w:t>
      </w:r>
      <w:r>
        <w:rPr>
          <w:rFonts w:ascii="Arial" w:hAnsi="Arial"/>
          <w:b w:val="0"/>
          <w:i w:val="0"/>
          <w:sz w:val="24"/>
        </w:rPr>
        <w:t>: fecha de ese oficio.</w:t>
      </w:r>
    </w:p>
    <w:p>
      <w:pPr>
        <w:spacing w:line="360" w:lineRule="auto"/>
        <w:jc w:val="both"/>
      </w:pPr>
      <w:r>
        <w:rPr>
          <w:rFonts w:ascii="Arial" w:hAnsi="Arial"/>
          <w:b/>
          <w:i w:val="0"/>
          <w:sz w:val="24"/>
        </w:rPr>
        <w:t>[NÚMERO Y FECHA DE LA RESOLUCIÓN DETERMINANTE DEL CRÉDITO]</w:t>
      </w:r>
      <w:r>
        <w:rPr>
          <w:rFonts w:ascii="Arial" w:hAnsi="Arial"/>
          <w:b w:val="0"/>
          <w:i w:val="0"/>
          <w:sz w:val="24"/>
        </w:rPr>
        <w:t>: identificación de la resolución que determinó el crédito cuya prescripción se pidió.</w:t>
      </w:r>
    </w:p>
    <w:p>
      <w:pPr>
        <w:spacing w:line="360" w:lineRule="auto"/>
        <w:jc w:val="both"/>
      </w:pPr>
      <w:r>
        <w:rPr>
          <w:rFonts w:ascii="Arial" w:hAnsi="Arial"/>
          <w:b/>
          <w:i w:val="0"/>
          <w:sz w:val="24"/>
        </w:rPr>
        <w:t>[FECHA DE PRESENTACIÓN DE LA DEMANDA]</w:t>
      </w:r>
      <w:r>
        <w:rPr>
          <w:rFonts w:ascii="Arial" w:hAnsi="Arial"/>
          <w:b w:val="0"/>
          <w:i w:val="0"/>
          <w:sz w:val="24"/>
        </w:rPr>
        <w:t>: fecha en que se presentó la demanda de nulidad; debe ser anterior al 16 de octubre de 2025 para que opere el transitorio.</w:t>
      </w:r>
    </w:p>
    <w:p>
      <w:pPr>
        <w:spacing w:line="360" w:lineRule="auto"/>
        <w:jc w:val="both"/>
      </w:pPr>
      <w:r>
        <w:rPr>
          <w:rFonts w:ascii="Arial" w:hAnsi="Arial"/>
          <w:b/>
          <w:i w:val="0"/>
          <w:sz w:val="24"/>
        </w:rPr>
        <w:t>[FECHA DEL ACUERDO DE ADMISIÓN]</w:t>
      </w:r>
      <w:r>
        <w:rPr>
          <w:rFonts w:ascii="Arial" w:hAnsi="Arial"/>
          <w:b w:val="0"/>
          <w:i w:val="0"/>
          <w:sz w:val="24"/>
        </w:rPr>
        <w:t>: fecha del acuerdo que admitió la demanda.</w:t>
      </w:r>
    </w:p>
    <w:p>
      <w:pPr>
        <w:spacing w:line="360" w:lineRule="auto"/>
        <w:jc w:val="both"/>
      </w:pPr>
      <w:r>
        <w:rPr>
          <w:rFonts w:ascii="Arial" w:hAnsi="Arial"/>
          <w:b/>
          <w:i w:val="0"/>
          <w:sz w:val="24"/>
        </w:rPr>
        <w:t>[FECHA DE CIERRE DE INSTRUCCIÓN]</w:t>
      </w:r>
      <w:r>
        <w:rPr>
          <w:rFonts w:ascii="Arial" w:hAnsi="Arial"/>
          <w:b w:val="0"/>
          <w:i w:val="0"/>
          <w:sz w:val="24"/>
        </w:rPr>
        <w:t>: fecha en que venció el plazo de alegatos; con ella quedó cerrada la instrucción sin declaratoria expresa.</w:t>
      </w:r>
    </w:p>
    <w:p>
      <w:pPr>
        <w:spacing w:line="360" w:lineRule="auto"/>
        <w:jc w:val="both"/>
      </w:pPr>
      <w:r>
        <w:rPr>
          <w:rFonts w:ascii="Arial" w:hAnsi="Arial"/>
          <w:b/>
          <w:i w:val="0"/>
          <w:sz w:val="24"/>
        </w:rPr>
        <w:t>[FECHA DEL ESCRITO DE LA AUTORIDAD QUE PLANTEA LA CAUSAL]</w:t>
      </w:r>
      <w:r>
        <w:rPr>
          <w:rFonts w:ascii="Arial" w:hAnsi="Arial"/>
          <w:b w:val="0"/>
          <w:i w:val="0"/>
          <w:sz w:val="24"/>
        </w:rPr>
        <w:t>: fecha del oficio o de la contestación en que la autoridad opuso la incompetencia sobrevenida.</w:t>
      </w:r>
    </w:p>
    <w:p>
      <w:pPr>
        <w:spacing w:line="360" w:lineRule="auto"/>
        <w:jc w:val="both"/>
      </w:pPr>
      <w:r>
        <w:rPr>
          <w:rFonts w:ascii="Arial" w:hAnsi="Arial"/>
          <w:b/>
          <w:i w:val="0"/>
          <w:sz w:val="24"/>
        </w:rPr>
        <w:t>[PRECEDENTES INVOCADOS POR LA AUTORIDAD]</w:t>
      </w:r>
      <w:r>
        <w:rPr>
          <w:rFonts w:ascii="Arial" w:hAnsi="Arial"/>
          <w:b w:val="0"/>
          <w:i w:val="0"/>
          <w:sz w:val="24"/>
        </w:rPr>
        <w:t>: las resoluciones que la autoridad ofreció como hechos notorios (contradicción de criterios, sentencias de otras Salas), identificadas como ella las citó.</w:t>
      </w:r>
    </w:p>
    <w:p>
      <w:pPr>
        <w:spacing w:line="360" w:lineRule="auto"/>
        <w:jc w:val="both"/>
      </w:pPr>
      <w:r>
        <w:rPr>
          <w:rFonts w:ascii="Arial" w:hAnsi="Arial"/>
          <w:b/>
          <w:i w:val="0"/>
          <w:sz w:val="24"/>
        </w:rPr>
        <w:t>[ORDINAL DEL CONCEPTO DE IMPUGNACIÓN SOBRE PRESCRIPCIÓN]</w:t>
      </w:r>
      <w:r>
        <w:rPr>
          <w:rFonts w:ascii="Arial" w:hAnsi="Arial"/>
          <w:b w:val="0"/>
          <w:i w:val="0"/>
          <w:sz w:val="24"/>
        </w:rPr>
        <w:t>: el ordinal del concepto de impugnación de tu demanda donde se desarrolla el fondo de la prescripción.</w:t>
      </w:r>
    </w:p>
    <w:p>
      <w:pPr>
        <w:spacing w:line="360" w:lineRule="auto"/>
        <w:jc w:val="both"/>
      </w:pPr>
      <w:r>
        <w:rPr>
          <w:rFonts w:ascii="Arial" w:hAnsi="Arial"/>
          <w:b/>
          <w:i w:val="0"/>
          <w:sz w:val="24"/>
        </w:rPr>
        <w:t>[SITUACIÓN DEL CRÉDITO: IMPUGNADO O CONSENTIDO]</w:t>
      </w:r>
      <w:r>
        <w:rPr>
          <w:rFonts w:ascii="Arial" w:hAnsi="Arial"/>
          <w:b w:val="0"/>
          <w:i w:val="0"/>
          <w:sz w:val="24"/>
        </w:rPr>
        <w:t>: describe si el crédito fue impugnado y quedó firme por resolución de autoridad competente, o si nunca se impugnó; de ello depende la lectura literal de la excepción.</w:t>
      </w:r>
    </w:p>
    <w:p/>
    <w:p>
      <w:pPr>
        <w:spacing w:line="360" w:lineRule="auto"/>
        <w:jc w:val="both"/>
      </w:pPr>
      <w:r>
        <w:rPr>
          <w:rFonts w:ascii="Arial" w:hAnsi="Arial"/>
          <w:b/>
          <w:sz w:val="28"/>
        </w:rPr>
        <w:t>[NÚMERO ORDINAL DEL CONCEPTO] CONCEPTO DE IMPUGNACIÓN. Apartado de procedencia y competencia. La reforma al artículo 3, fracción II, de la Ley Orgánica del Tribunal Federal de Justicia Administrativa, publicada en el Diario Oficial de la Federación el 16 de octubre de 2025, no priva a la Sala de competencia ni autoriza sobreseer el juicio promovido contra la negativa de prescripción de un crédito fiscal: las etapas procesales concluidas generan derechos adquiridos que protegen el artículo Tercero transitorio del propio Decreto y el artículo 14 constitucional, y subsiste el deber de dictar sentencia de fondo.</w:t>
      </w:r>
    </w:p>
    <w:p>
      <w:pPr>
        <w:spacing w:line="360" w:lineRule="auto"/>
        <w:jc w:val="both"/>
      </w:pPr>
      <w:r>
        <w:rPr>
          <w:rFonts w:ascii="Arial" w:hAnsi="Arial"/>
          <w:b/>
          <w:sz w:val="28"/>
        </w:rPr>
        <w:t>I. Síntesis del apartado.</w:t>
      </w:r>
    </w:p>
    <w:p>
      <w:pPr>
        <w:spacing w:line="360" w:lineRule="auto"/>
        <w:jc w:val="both"/>
      </w:pPr>
      <w:r>
        <w:rPr>
          <w:rFonts w:ascii="Arial" w:hAnsi="Arial"/>
          <w:b w:val="0"/>
          <w:i w:val="0"/>
          <w:sz w:val="28"/>
        </w:rPr>
        <w:t xml:space="preserve">En este apartado se demostrará que es infundada la causal de improcedencia y sobreseimiento que la </w:t>
      </w:r>
      <w:r>
        <w:rPr>
          <w:rFonts w:ascii="Arial" w:hAnsi="Arial"/>
          <w:b/>
          <w:i w:val="0"/>
          <w:sz w:val="28"/>
        </w:rPr>
        <w:t>[AUTORIDAD DEMANDADA]</w:t>
      </w:r>
      <w:r>
        <w:rPr>
          <w:rFonts w:ascii="Arial" w:hAnsi="Arial"/>
          <w:b w:val="0"/>
          <w:i w:val="0"/>
          <w:sz w:val="28"/>
        </w:rPr>
        <w:t xml:space="preserve"> hace valer con apoyo en los artículos 8, fracción II, y 9, fracción II, de la Ley Federal de Procedimiento Contencioso Administrativo. La autoridad sostiene que, a partir de la reforma al artículo 3, fracción II, de la Ley Orgánica del Tribunal Federal de Justicia Administrativa publicada el 16 de octubre de 2025, esta Sala perdió la competencia para conocer de la resolución que negó declarar prescrito el crédito fiscal a cargo de </w:t>
      </w:r>
      <w:r>
        <w:rPr>
          <w:rFonts w:ascii="Arial" w:hAnsi="Arial"/>
          <w:b/>
          <w:i w:val="0"/>
          <w:sz w:val="28"/>
        </w:rPr>
        <w:t>[NOMBRE DE LA PARTE ACTORA]</w:t>
      </w:r>
      <w:r>
        <w:rPr>
          <w:rFonts w:ascii="Arial" w:hAnsi="Arial"/>
          <w:b w:val="0"/>
          <w:i w:val="0"/>
          <w:sz w:val="28"/>
        </w:rPr>
        <w:t>.</w:t>
      </w:r>
    </w:p>
    <w:p>
      <w:pPr>
        <w:spacing w:line="360" w:lineRule="auto"/>
        <w:jc w:val="both"/>
      </w:pPr>
      <w:r>
        <w:rPr>
          <w:rFonts w:ascii="Arial" w:hAnsi="Arial"/>
          <w:b w:val="0"/>
          <w:i w:val="0"/>
          <w:sz w:val="28"/>
        </w:rPr>
        <w:t>La demostración descansa en tres premisas. Primera: el propio Decreto reformador, en su artículo Tercero transitorio, ordena que las etapas procesales concluidas que generen derechos adquiridos se rijan por la ley vigente al inicio del proceso. Segunda: la admisión, la contestación, el periodo probatorio y el cierre de instrucción son etapas concluidas que consolidaron el derecho de las partes a obtener sentencia de fondo.</w:t>
      </w:r>
    </w:p>
    <w:p>
      <w:pPr>
        <w:spacing w:line="360" w:lineRule="auto"/>
        <w:jc w:val="both"/>
      </w:pPr>
      <w:r>
        <w:rPr>
          <w:rFonts w:ascii="Arial" w:hAnsi="Arial"/>
          <w:b w:val="0"/>
          <w:i w:val="0"/>
          <w:sz w:val="28"/>
        </w:rPr>
        <w:t>Tercera: la sentencia no es una actuación futura y autónoma, sino la culminación del proceso ya integrado, así que aplicarle la nueva excepción competencial equivaldría a dar a la ley efecto retroactivo en perjuicio de la parte actora, contra el artículo 14 constitucional.</w:t>
      </w:r>
    </w:p>
    <w:p>
      <w:pPr>
        <w:spacing w:line="360" w:lineRule="auto"/>
        <w:jc w:val="both"/>
      </w:pPr>
      <w:r>
        <w:rPr>
          <w:rFonts w:ascii="Arial" w:hAnsi="Arial"/>
          <w:b/>
          <w:sz w:val="28"/>
        </w:rPr>
        <w:t>II. Planteamiento.</w:t>
      </w:r>
    </w:p>
    <w:p>
      <w:pPr>
        <w:spacing w:line="360" w:lineRule="auto"/>
        <w:jc w:val="both"/>
      </w:pPr>
      <w:r>
        <w:rPr>
          <w:rFonts w:ascii="Arial" w:hAnsi="Arial"/>
          <w:b w:val="0"/>
          <w:i w:val="0"/>
          <w:sz w:val="28"/>
        </w:rPr>
        <w:t xml:space="preserve">La resolución impugnada es la contenida en el oficio </w:t>
      </w:r>
      <w:r>
        <w:rPr>
          <w:rFonts w:ascii="Arial" w:hAnsi="Arial"/>
          <w:b/>
          <w:i w:val="0"/>
          <w:sz w:val="28"/>
        </w:rPr>
        <w:t>[NÚMERO DE OFICIO DE LA RESOLUCIÓN IMPUGNADA]</w:t>
      </w:r>
      <w:r>
        <w:rPr>
          <w:rFonts w:ascii="Arial" w:hAnsi="Arial"/>
          <w:b w:val="0"/>
          <w:i w:val="0"/>
          <w:sz w:val="28"/>
        </w:rPr>
        <w:t xml:space="preserve">, de </w:t>
      </w:r>
      <w:r>
        <w:rPr>
          <w:rFonts w:ascii="Arial" w:hAnsi="Arial"/>
          <w:b/>
          <w:i w:val="0"/>
          <w:sz w:val="28"/>
        </w:rPr>
        <w:t>[FECHA DE EMISIÓN DE LA RESOLUCIÓN IMPUGNADA]</w:t>
      </w:r>
      <w:r>
        <w:rPr>
          <w:rFonts w:ascii="Arial" w:hAnsi="Arial"/>
          <w:b w:val="0"/>
          <w:i w:val="0"/>
          <w:sz w:val="28"/>
        </w:rPr>
        <w:t xml:space="preserve">, por la que la </w:t>
      </w:r>
      <w:r>
        <w:rPr>
          <w:rFonts w:ascii="Arial" w:hAnsi="Arial"/>
          <w:b/>
          <w:i w:val="0"/>
          <w:sz w:val="28"/>
        </w:rPr>
        <w:t>[AUTORIDAD DEMANDADA]</w:t>
      </w:r>
      <w:r>
        <w:rPr>
          <w:rFonts w:ascii="Arial" w:hAnsi="Arial"/>
          <w:b w:val="0"/>
          <w:i w:val="0"/>
          <w:sz w:val="28"/>
        </w:rPr>
        <w:t xml:space="preserve"> negó declarar extinguido por prescripción el crédito fiscal determinado en la resolución </w:t>
      </w:r>
      <w:r>
        <w:rPr>
          <w:rFonts w:ascii="Arial" w:hAnsi="Arial"/>
          <w:b/>
          <w:i w:val="0"/>
          <w:sz w:val="28"/>
        </w:rPr>
        <w:t>[NÚMERO Y FECHA DE LA RESOLUCIÓN DETERMINANTE DEL CRÉDITO]</w:t>
      </w:r>
      <w:r>
        <w:rPr>
          <w:rFonts w:ascii="Arial" w:hAnsi="Arial"/>
          <w:b w:val="0"/>
          <w:i w:val="0"/>
          <w:sz w:val="28"/>
        </w:rPr>
        <w:t xml:space="preserve">. La demanda se presentó el </w:t>
      </w:r>
      <w:r>
        <w:rPr>
          <w:rFonts w:ascii="Arial" w:hAnsi="Arial"/>
          <w:b/>
          <w:i w:val="0"/>
          <w:sz w:val="28"/>
        </w:rPr>
        <w:t>[FECHA DE PRESENTACIÓN DE LA DEMANDA]</w:t>
      </w:r>
      <w:r>
        <w:rPr>
          <w:rFonts w:ascii="Arial" w:hAnsi="Arial"/>
          <w:b w:val="0"/>
          <w:i w:val="0"/>
          <w:sz w:val="28"/>
        </w:rPr>
        <w:t xml:space="preserve"> y se admitió por acuerdo de </w:t>
      </w:r>
      <w:r>
        <w:rPr>
          <w:rFonts w:ascii="Arial" w:hAnsi="Arial"/>
          <w:b/>
          <w:i w:val="0"/>
          <w:sz w:val="28"/>
        </w:rPr>
        <w:t>[FECHA DEL ACUERDO DE ADMISIÓN]</w:t>
      </w:r>
      <w:r>
        <w:rPr>
          <w:rFonts w:ascii="Arial" w:hAnsi="Arial"/>
          <w:b w:val="0"/>
          <w:i w:val="0"/>
          <w:sz w:val="28"/>
        </w:rPr>
        <w:t xml:space="preserve">; la instrucción quedó cerrada el </w:t>
      </w:r>
      <w:r>
        <w:rPr>
          <w:rFonts w:ascii="Arial" w:hAnsi="Arial"/>
          <w:b/>
          <w:i w:val="0"/>
          <w:sz w:val="28"/>
        </w:rPr>
        <w:t>[FECHA DE CIERRE DE INSTRUCCIÓN]</w:t>
      </w:r>
      <w:r>
        <w:rPr>
          <w:rFonts w:ascii="Arial" w:hAnsi="Arial"/>
          <w:b w:val="0"/>
          <w:i w:val="0"/>
          <w:sz w:val="28"/>
        </w:rPr>
        <w:t>, en términos del artículo 47 de la Ley Federal de Procedimiento Contencioso Administrativo.</w:t>
      </w:r>
    </w:p>
    <w:p>
      <w:pPr>
        <w:spacing w:line="360" w:lineRule="auto"/>
        <w:jc w:val="both"/>
      </w:pPr>
      <w:r>
        <w:rPr>
          <w:rFonts w:ascii="Arial" w:hAnsi="Arial"/>
          <w:b w:val="0"/>
          <w:i w:val="0"/>
          <w:sz w:val="28"/>
        </w:rPr>
        <w:t xml:space="preserve">Todas esas fechas son anteriores a la entrada en vigor del Decreto publicado el 16 de octubre de 2025. No obstante, mediante escrito de </w:t>
      </w:r>
      <w:r>
        <w:rPr>
          <w:rFonts w:ascii="Arial" w:hAnsi="Arial"/>
          <w:b/>
          <w:i w:val="0"/>
          <w:sz w:val="28"/>
        </w:rPr>
        <w:t>[FECHA DEL ESCRITO DE LA AUTORIDAD QUE PLANTEA LA CAUSAL]</w:t>
      </w:r>
      <w:r>
        <w:rPr>
          <w:rFonts w:ascii="Arial" w:hAnsi="Arial"/>
          <w:b w:val="0"/>
          <w:i w:val="0"/>
          <w:sz w:val="28"/>
        </w:rPr>
        <w:t xml:space="preserve">, la autoridad demandada sostuvo que el texto reformado de la fracción II del artículo 3 de la Ley Orgánica excluye de la competencia del Tribunal los </w:t>
      </w:r>
      <w:r>
        <w:rPr>
          <w:rFonts w:ascii="Arial" w:hAnsi="Arial"/>
          <w:b w:val="0"/>
          <w:i/>
          <w:sz w:val="28"/>
        </w:rPr>
        <w:t>«actos que resuelvan sobre solicitudes de prescripción»</w:t>
      </w:r>
      <w:r>
        <w:rPr>
          <w:rFonts w:ascii="Arial" w:hAnsi="Arial"/>
          <w:b w:val="0"/>
          <w:i w:val="0"/>
          <w:sz w:val="28"/>
        </w:rPr>
        <w:t xml:space="preserve"> respecto de créditos determinados en resoluciones liquidatorias impugnadas y firmes, pidió el sobreseimiento por incompetencia sobrevenida e invocó como hechos notorios </w:t>
      </w:r>
      <w:r>
        <w:rPr>
          <w:rFonts w:ascii="Arial" w:hAnsi="Arial"/>
          <w:b/>
          <w:i w:val="0"/>
          <w:sz w:val="28"/>
        </w:rPr>
        <w:t>[PRECEDENTES INVOCADOS POR LA AUTORIDAD]</w:t>
      </w:r>
      <w:r>
        <w:rPr>
          <w:rFonts w:ascii="Arial" w:hAnsi="Arial"/>
          <w:b w:val="0"/>
          <w:i w:val="0"/>
          <w:sz w:val="28"/>
        </w:rPr>
        <w:t>.</w:t>
      </w:r>
    </w:p>
    <w:p>
      <w:pPr>
        <w:spacing w:line="360" w:lineRule="auto"/>
        <w:jc w:val="both"/>
      </w:pPr>
      <w:r>
        <w:rPr>
          <w:rFonts w:ascii="Arial" w:hAnsi="Arial"/>
          <w:b w:val="0"/>
          <w:i w:val="0"/>
          <w:sz w:val="28"/>
        </w:rPr>
        <w:t>Las normas que rigen la cuestión son el artículo 14, primer párrafo, de la Constitución Política de los Estados Unidos Mexicanos, que prohíbe dar a una ley efecto retroactivo en perjuicio de persona alguna; el artículo 17 constitucional, que garantiza la administración de justicia pronta y completa por tribunales expeditos; el artículo Tercero transitorio del Decreto publicado el 16 de octubre de 2025; y los artículos 8, fracción II, 9, fracción II, y 47 de la Ley Federal de Procedimiento Contencioso Administrativo.</w:t>
      </w:r>
    </w:p>
    <w:p>
      <w:pPr>
        <w:spacing w:line="360" w:lineRule="auto"/>
        <w:jc w:val="both"/>
      </w:pPr>
      <w:r>
        <w:rPr>
          <w:rFonts w:ascii="Arial" w:hAnsi="Arial"/>
          <w:b w:val="0"/>
          <w:i w:val="0"/>
          <w:sz w:val="28"/>
        </w:rPr>
        <w:t xml:space="preserve">El perjuicio es concreto. Si el juicio se sobresee, la negativa de prescripción queda intocada y el procedimiento administrativo de ejecución continúa sobre un crédito que, como se demuestra en el concepto de impugnación </w:t>
      </w:r>
      <w:r>
        <w:rPr>
          <w:rFonts w:ascii="Arial" w:hAnsi="Arial"/>
          <w:b/>
          <w:i w:val="0"/>
          <w:sz w:val="28"/>
        </w:rPr>
        <w:t>[ORDINAL DEL CONCEPTO DE IMPUGNACIÓN SOBRE PRESCRIPCIÓN]</w:t>
      </w:r>
      <w:r>
        <w:rPr>
          <w:rFonts w:ascii="Arial" w:hAnsi="Arial"/>
          <w:b w:val="0"/>
          <w:i w:val="0"/>
          <w:sz w:val="28"/>
        </w:rPr>
        <w:t>, se extinguió por el transcurso del plazo del artículo 146 del Código Fiscal de la Federación. La parte actora habría litigado un juicio completo para ser privada de la sentencia en el último tramo, que es exactamente el resultado que el transitorio y el artículo 14 constitucional prohíben.</w:t>
      </w:r>
    </w:p>
    <w:p>
      <w:pPr>
        <w:spacing w:line="360" w:lineRule="auto"/>
        <w:jc w:val="both"/>
      </w:pPr>
      <w:r>
        <w:rPr>
          <w:rFonts w:ascii="Arial" w:hAnsi="Arial"/>
          <w:b w:val="0"/>
          <w:i w:val="0"/>
          <w:sz w:val="28"/>
        </w:rPr>
        <w:t>Este apartado se redacta para el escrito con que se desahoga la vista de la causal opuesta por la autoridad y sus argumentos se reproducen en los alegatos; si la demanda todavía no se presenta, sirve como apartado previo de procedencia, pues las causales de improcedencia se examinan aun de oficio y conviene que la Sala cuente con la respuesta antes de dictar sentencia.</w:t>
      </w:r>
    </w:p>
    <w:p>
      <w:pPr>
        <w:spacing w:line="360" w:lineRule="auto"/>
        <w:jc w:val="both"/>
      </w:pPr>
      <w:r>
        <w:rPr>
          <w:rFonts w:ascii="Arial" w:hAnsi="Arial"/>
          <w:b/>
          <w:sz w:val="28"/>
        </w:rPr>
        <w:t>III. Desarrollo doctrinal y normativo. Premisa mayor.</w:t>
      </w:r>
    </w:p>
    <w:p>
      <w:pPr>
        <w:spacing w:line="360" w:lineRule="auto"/>
        <w:jc w:val="both"/>
      </w:pPr>
      <w:r>
        <w:rPr>
          <w:rFonts w:ascii="Arial" w:hAnsi="Arial"/>
          <w:b w:val="0"/>
          <w:i w:val="0"/>
          <w:sz w:val="28"/>
        </w:rPr>
        <w:t>El artículo 14 constitucional dispone en su primer párrafo que a ninguna ley se dará efecto retroactivo en perjuicio de persona alguna. La doctrina distingue dos operaciones: el examen de la retroactividad de la ley, que verifica si la norma misma pretende regir derechos adquiridos o situaciones anteriores a su vigencia, y el examen de la aplicación retroactiva, que verifica si el operador proyectó una norma nueva sobre hechos o situaciones consumados antes de ella.</w:t>
      </w:r>
      <w:r>
        <w:rPr>
          <w:rFonts w:ascii="Arial" w:hAnsi="Arial"/>
          <w:vertAlign w:val="superscript"/>
        </w:rPr>
        <w:t>1</w:t>
      </w:r>
      <w:r>
        <w:rPr>
          <w:rFonts w:ascii="Arial" w:hAnsi="Arial"/>
          <w:b w:val="0"/>
          <w:i w:val="0"/>
          <w:sz w:val="28"/>
        </w:rPr>
        <w:t xml:space="preserve"> Aquí no se cuestiona la validez de la reforma, sino su aplicación retroactiva a un proceso cuyas etapas ya se habían agotado.</w:t>
      </w:r>
    </w:p>
    <w:p>
      <w:pPr>
        <w:spacing w:line="360" w:lineRule="auto"/>
        <w:jc w:val="both"/>
      </w:pPr>
      <w:r>
        <w:rPr>
          <w:rFonts w:ascii="Arial" w:hAnsi="Arial"/>
          <w:b w:val="0"/>
          <w:i w:val="0"/>
          <w:sz w:val="28"/>
        </w:rPr>
        <w:t>Es cierto que las leyes procesales son de aplicación inmediata, pero esa regla tiene un contenido preciso. La doctrina, al recoger el criterio de la Suprema Corte de Justicia de la Nación, explica que los actos procesales se rigen por las normas vigentes en la época en que se realizan, de modo que la norma nueva gobierna las etapas aún no agotadas y no alcanza las que ya se consumaron bajo la ley anterior.</w:t>
      </w:r>
      <w:r>
        <w:rPr>
          <w:rFonts w:ascii="Arial" w:hAnsi="Arial"/>
          <w:vertAlign w:val="superscript"/>
        </w:rPr>
        <w:t>2</w:t>
      </w:r>
      <w:r>
        <w:rPr>
          <w:rFonts w:ascii="Arial" w:hAnsi="Arial"/>
          <w:b w:val="0"/>
          <w:i w:val="0"/>
          <w:sz w:val="28"/>
        </w:rPr>
        <w:t xml:space="preserve"> La aplicación inmediata opera hacia adelante, etapa por etapa; nunca hacia atrás, sobre lo ya actuado.</w:t>
      </w:r>
    </w:p>
    <w:p>
      <w:pPr>
        <w:spacing w:line="360" w:lineRule="auto"/>
        <w:jc w:val="both"/>
      </w:pPr>
      <w:r>
        <w:rPr>
          <w:rFonts w:ascii="Arial" w:hAnsi="Arial"/>
          <w:b w:val="0"/>
          <w:i w:val="0"/>
          <w:sz w:val="28"/>
        </w:rPr>
        <w:t xml:space="preserve">El legislador federal incorporó esa distinción en el artículo Tercero transitorio del Decreto publicado el 16 de octubre de 2025, que ordena que </w:t>
      </w:r>
      <w:r>
        <w:rPr>
          <w:rFonts w:ascii="Arial" w:hAnsi="Arial"/>
          <w:b w:val="0"/>
          <w:i/>
          <w:sz w:val="28"/>
        </w:rPr>
        <w:t>«las etapas procesales concluidas que generen derechos adquiridos a las partes se regirán por las disposiciones legales vigentes al inicio de los procesos respectivos»</w:t>
      </w:r>
      <w:r>
        <w:rPr>
          <w:rFonts w:ascii="Arial" w:hAnsi="Arial"/>
          <w:b w:val="0"/>
          <w:i w:val="0"/>
          <w:sz w:val="28"/>
        </w:rPr>
        <w:t xml:space="preserve">, y que sólo </w:t>
      </w:r>
      <w:r>
        <w:rPr>
          <w:rFonts w:ascii="Arial" w:hAnsi="Arial"/>
          <w:b w:val="0"/>
          <w:i/>
          <w:sz w:val="28"/>
        </w:rPr>
        <w:t>«las actuaciones procesales posteriores a la entrada en vigor del presente Decreto»</w:t>
      </w:r>
      <w:r>
        <w:rPr>
          <w:rFonts w:ascii="Arial" w:hAnsi="Arial"/>
          <w:b w:val="0"/>
          <w:i w:val="0"/>
          <w:sz w:val="28"/>
        </w:rPr>
        <w:t xml:space="preserve"> se rijan por él, </w:t>
      </w:r>
      <w:r>
        <w:rPr>
          <w:rFonts w:ascii="Arial" w:hAnsi="Arial"/>
          <w:b w:val="0"/>
          <w:i/>
          <w:sz w:val="28"/>
        </w:rPr>
        <w:t>«pues se trata de actuaciones futuras»</w:t>
      </w:r>
      <w:r>
        <w:rPr>
          <w:rFonts w:ascii="Arial" w:hAnsi="Arial"/>
          <w:b w:val="0"/>
          <w:i w:val="0"/>
          <w:sz w:val="28"/>
        </w:rPr>
        <w:t>. No hay laguna que colmar: la propia reforma fija su alcance temporal.</w:t>
      </w:r>
    </w:p>
    <w:p>
      <w:pPr>
        <w:spacing w:line="360" w:lineRule="auto"/>
        <w:jc w:val="both"/>
      </w:pPr>
      <w:r>
        <w:rPr>
          <w:rFonts w:ascii="Arial" w:hAnsi="Arial"/>
          <w:b w:val="0"/>
          <w:i w:val="0"/>
          <w:sz w:val="28"/>
        </w:rPr>
        <w:t xml:space="preserve">De ese transitorio se desprende una regla de decisión binaria. Lo que ya concluyó y generó derechos se rige por la ley anterior; lo que todavía no ocurre se rige por la nueva. La pregunta decisiva es, entonces, si el dictado de la sentencia en un juicio con instrucción cerrada es una </w:t>
      </w:r>
      <w:r>
        <w:rPr>
          <w:rFonts w:ascii="Arial" w:hAnsi="Arial"/>
          <w:b w:val="0"/>
          <w:i/>
          <w:sz w:val="28"/>
        </w:rPr>
        <w:t>«actuación futura»</w:t>
      </w:r>
      <w:r>
        <w:rPr>
          <w:rFonts w:ascii="Arial" w:hAnsi="Arial"/>
          <w:b w:val="0"/>
          <w:i w:val="0"/>
          <w:sz w:val="28"/>
        </w:rPr>
        <w:t xml:space="preserve"> sujeta a un régimen competencial distinto, o la consecuencia necesaria de etapas concluidas que ya consolidaron el derecho de las partes a la decisión de fondo. Como lo ha reconocido la Sala en casos análogos, la sentencia no es una actuación autónoma, sino la culminación de un procedimiento válidamente integrado.</w:t>
      </w:r>
    </w:p>
    <w:p>
      <w:pPr>
        <w:spacing w:line="360" w:lineRule="auto"/>
        <w:jc w:val="both"/>
      </w:pPr>
      <w:r>
        <w:rPr>
          <w:rFonts w:ascii="Arial" w:hAnsi="Arial"/>
          <w:b w:val="0"/>
          <w:i w:val="0"/>
          <w:sz w:val="28"/>
        </w:rPr>
        <w:t>La razón es estructural. La competencia se ejerce cuando el órgano admite la demanda y sustancia el juicio; a partir de ahí las partes contestan, ofrecen pruebas, amplían y alegan, y cada una de esas cargas se cumple sobre la base de que el tribunal que las recibió las resolverá. Afirmar que la competencia puede desaparecer al final, cuando ya no queda nada por hacer sino sentenciar, convierte en inútil todo lo actuado y desconoce el derecho adquirido a la decisión, que nació con el agotamiento de la instrucción y no con la sentencia misma.</w:t>
      </w:r>
    </w:p>
    <w:p>
      <w:pPr>
        <w:spacing w:line="360" w:lineRule="auto"/>
        <w:jc w:val="both"/>
      </w:pPr>
      <w:r>
        <w:rPr>
          <w:rFonts w:ascii="Arial" w:hAnsi="Arial"/>
          <w:b w:val="0"/>
          <w:i w:val="0"/>
          <w:sz w:val="28"/>
        </w:rPr>
        <w:t>La seguridad jurídica refuerza esta conclusión. La doctrina la entiende como la estabilidad del ordenamiento jurídico, integrado por normas con permanencia que garanticen el equilibrio en las relaciones entre los órganos del Estado y las personas.</w:t>
      </w:r>
      <w:r>
        <w:rPr>
          <w:rFonts w:ascii="Arial" w:hAnsi="Arial"/>
          <w:vertAlign w:val="superscript"/>
        </w:rPr>
        <w:t>3</w:t>
      </w:r>
      <w:r>
        <w:rPr>
          <w:rFonts w:ascii="Arial" w:hAnsi="Arial"/>
          <w:b w:val="0"/>
          <w:i w:val="0"/>
          <w:sz w:val="28"/>
        </w:rPr>
        <w:t xml:space="preserve"> Quien promueve un juicio bajo un régimen competencial claro tiene derecho a que ese régimen no se le retire cuando el asunto está listo para sentencia; de lo contrario, la procedencia dependería de la fecha en que el tribunal alcance a resolver, dato ajeno a la diligencia de las partes.</w:t>
      </w:r>
    </w:p>
    <w:p>
      <w:pPr>
        <w:spacing w:line="360" w:lineRule="auto"/>
        <w:jc w:val="both"/>
      </w:pPr>
      <w:r>
        <w:rPr>
          <w:rFonts w:ascii="Arial" w:hAnsi="Arial"/>
          <w:b w:val="0"/>
          <w:i w:val="0"/>
          <w:sz w:val="28"/>
        </w:rPr>
        <w:t>A ello se suma el artículo 17 constitucional, conforme al cual toda persona tiene derecho a que se le administre justicia por tribunales expeditos, que emitan sus resoluciones de manera pronta, completa e imparcial. La doctrina sobre el acceso a la justicia precisa que los requisitos de procedencia deben estar previstos en una norma con rango de ley e interpretarse en el sentido más favorable a la admisión de las pretensiones.</w:t>
      </w:r>
      <w:r>
        <w:rPr>
          <w:rFonts w:ascii="Arial" w:hAnsi="Arial"/>
          <w:vertAlign w:val="superscript"/>
        </w:rPr>
        <w:t>4</w:t>
      </w:r>
      <w:r>
        <w:rPr>
          <w:rFonts w:ascii="Arial" w:hAnsi="Arial"/>
          <w:b w:val="0"/>
          <w:i w:val="0"/>
          <w:sz w:val="28"/>
        </w:rPr>
        <w:t xml:space="preserve"> Una causal de improcedencia sobrevenida por reforma legal, aplicada a un juicio con instrucción concluida, es la lectura menos favorable posible: deniega la justicia ya alcanzada.</w:t>
      </w:r>
    </w:p>
    <w:p>
      <w:pPr>
        <w:spacing w:line="360" w:lineRule="auto"/>
        <w:jc w:val="both"/>
      </w:pPr>
      <w:r>
        <w:rPr>
          <w:rFonts w:ascii="Arial" w:hAnsi="Arial"/>
          <w:b w:val="0"/>
          <w:i w:val="0"/>
          <w:sz w:val="28"/>
        </w:rPr>
        <w:t xml:space="preserve">Por último, el artículo 8 de la Ley Federal de Procedimiento Contencioso Administrativo enumera de manera expresa las causales de improcedencia, y el artículo 9, fracción II, autoriza el sobreseimiento sólo cuando durante el juicio aparezca o sobrevenga alguna de ellas. La incompetencia de la fracción II del artículo 8 se mide frente a la ley que regía cuando el Tribunal ejerció su competencia; no </w:t>
      </w:r>
      <w:r>
        <w:rPr>
          <w:rFonts w:ascii="Arial" w:hAnsi="Arial"/>
          <w:b w:val="0"/>
          <w:i/>
          <w:sz w:val="28"/>
        </w:rPr>
        <w:t>«sobreviene»</w:t>
      </w:r>
      <w:r>
        <w:rPr>
          <w:rFonts w:ascii="Arial" w:hAnsi="Arial"/>
          <w:b w:val="0"/>
          <w:i w:val="0"/>
          <w:sz w:val="28"/>
        </w:rPr>
        <w:t xml:space="preserve"> por el cambio de la ley si el propio Decreto reformador ordena respetar las etapas concluidas.</w:t>
      </w:r>
    </w:p>
    <w:p>
      <w:pPr>
        <w:spacing w:line="360" w:lineRule="auto"/>
        <w:jc w:val="both"/>
      </w:pPr>
      <w:r>
        <w:rPr>
          <w:rFonts w:ascii="Arial" w:hAnsi="Arial"/>
          <w:b/>
          <w:sz w:val="28"/>
        </w:rPr>
        <w:t>IV. Aplicación al caso concreto y refutación de la causal.</w:t>
      </w:r>
    </w:p>
    <w:p>
      <w:pPr>
        <w:spacing w:line="360" w:lineRule="auto"/>
        <w:jc w:val="both"/>
      </w:pPr>
      <w:r>
        <w:rPr>
          <w:rFonts w:ascii="Arial" w:hAnsi="Arial"/>
          <w:b w:val="0"/>
          <w:i w:val="0"/>
          <w:sz w:val="28"/>
        </w:rPr>
        <w:t xml:space="preserve">Los hechos del expediente encuadran en la premisa. La demanda se presentó el </w:t>
      </w:r>
      <w:r>
        <w:rPr>
          <w:rFonts w:ascii="Arial" w:hAnsi="Arial"/>
          <w:b/>
          <w:i w:val="0"/>
          <w:sz w:val="28"/>
        </w:rPr>
        <w:t>[FECHA DE PRESENTACIÓN DE LA DEMANDA]</w:t>
      </w:r>
      <w:r>
        <w:rPr>
          <w:rFonts w:ascii="Arial" w:hAnsi="Arial"/>
          <w:b w:val="0"/>
          <w:i w:val="0"/>
          <w:sz w:val="28"/>
        </w:rPr>
        <w:t xml:space="preserve">, cuando la fracción II del artículo 3 de la Ley Orgánica no contenía excepción alguna relativa a las resoluciones sobre solicitudes de prescripción; la Sala la admitió el </w:t>
      </w:r>
      <w:r>
        <w:rPr>
          <w:rFonts w:ascii="Arial" w:hAnsi="Arial"/>
          <w:b/>
          <w:i w:val="0"/>
          <w:sz w:val="28"/>
        </w:rPr>
        <w:t>[FECHA DEL ACUERDO DE ADMISIÓN]</w:t>
      </w:r>
      <w:r>
        <w:rPr>
          <w:rFonts w:ascii="Arial" w:hAnsi="Arial"/>
          <w:b w:val="0"/>
          <w:i w:val="0"/>
          <w:sz w:val="28"/>
        </w:rPr>
        <w:t xml:space="preserve">, la autoridad contestó, se admitieron las pruebas y, en su caso, se tramitó la ampliación; y el </w:t>
      </w:r>
      <w:r>
        <w:rPr>
          <w:rFonts w:ascii="Arial" w:hAnsi="Arial"/>
          <w:b/>
          <w:i w:val="0"/>
          <w:sz w:val="28"/>
        </w:rPr>
        <w:t>[FECHA DE CIERRE DE INSTRUCCIÓN]</w:t>
      </w:r>
      <w:r>
        <w:rPr>
          <w:rFonts w:ascii="Arial" w:hAnsi="Arial"/>
          <w:b w:val="0"/>
          <w:i w:val="0"/>
          <w:sz w:val="28"/>
        </w:rPr>
        <w:t xml:space="preserve"> venció el plazo de alegatos, con lo que la instrucción quedó cerrada sin necesidad de declaratoria expresa, conforme al artículo 47 de la ley procesal.</w:t>
      </w:r>
    </w:p>
    <w:p>
      <w:pPr>
        <w:spacing w:line="360" w:lineRule="auto"/>
        <w:jc w:val="both"/>
      </w:pPr>
      <w:r>
        <w:rPr>
          <w:rFonts w:ascii="Arial" w:hAnsi="Arial"/>
          <w:b w:val="0"/>
          <w:i w:val="0"/>
          <w:sz w:val="28"/>
        </w:rPr>
        <w:t>Todas las etapas esenciales del juicio, admisión, contestación, pruebas, cierre de instrucción y vista para alegatos, se agotaron bajo la ley vigente al inicio del proceso. Conforme al artículo Tercero transitorio, esas etapas concluidas se rigen por esa ley, y el derecho que generaron es el de obtener, en este mismo proceso y de este mismo Tribunal, la sentencia de fondo. La subsunción es directa: el sobreseimiento pedido aplicaría la excepción competencial nueva a un proceso íntegramente consumado, esto es, le daría efecto retroactivo en perjuicio de la parte actora.</w:t>
      </w:r>
    </w:p>
    <w:p>
      <w:pPr>
        <w:spacing w:line="360" w:lineRule="auto"/>
        <w:jc w:val="both"/>
      </w:pPr>
      <w:r>
        <w:rPr>
          <w:rFonts w:ascii="Arial" w:hAnsi="Arial"/>
          <w:b w:val="0"/>
          <w:i w:val="0"/>
          <w:sz w:val="28"/>
        </w:rPr>
        <w:t>Frente a ello, la autoridad razona así: la Ley Orgánica es una ley procesal; las leyes procesales son de aplicación inmediata; luego la excepción competencial rige de inmediato y el juicio debe sobreseerse. El razonamiento incurre en la falacia que la doctrina de la argumentación denomina secundum quid o de mala aplicación de una regla, consistente en aplicar rígidamente una regla general como si no existieran excepciones, olvidando la circunstancia especial que la hace inaplicable al caso.</w:t>
      </w:r>
      <w:r>
        <w:rPr>
          <w:rFonts w:ascii="Arial" w:hAnsi="Arial"/>
          <w:vertAlign w:val="superscript"/>
        </w:rPr>
        <w:t>5</w:t>
      </w:r>
    </w:p>
    <w:p>
      <w:pPr>
        <w:spacing w:line="360" w:lineRule="auto"/>
        <w:jc w:val="both"/>
      </w:pPr>
      <w:r>
        <w:rPr>
          <w:rFonts w:ascii="Arial" w:hAnsi="Arial"/>
          <w:b w:val="0"/>
          <w:i w:val="0"/>
          <w:sz w:val="28"/>
        </w:rPr>
        <w:t xml:space="preserve">La circunstancia especial no es una construcción de la parte actora: la escribió el legislador en el transitorio Tercero. La regla de aplicación inmediata está expresamente limitada a las </w:t>
      </w:r>
      <w:r>
        <w:rPr>
          <w:rFonts w:ascii="Arial" w:hAnsi="Arial"/>
          <w:b w:val="0"/>
          <w:i/>
          <w:sz w:val="28"/>
        </w:rPr>
        <w:t>«actuaciones procesales posteriores»</w:t>
      </w:r>
      <w:r>
        <w:rPr>
          <w:rFonts w:ascii="Arial" w:hAnsi="Arial"/>
          <w:b w:val="0"/>
          <w:i w:val="0"/>
          <w:sz w:val="28"/>
        </w:rPr>
        <w:t xml:space="preserve"> y excluye las </w:t>
      </w:r>
      <w:r>
        <w:rPr>
          <w:rFonts w:ascii="Arial" w:hAnsi="Arial"/>
          <w:b w:val="0"/>
          <w:i/>
          <w:sz w:val="28"/>
        </w:rPr>
        <w:t>«etapas procesales concluidas que generen derechos adquiridos»</w:t>
      </w:r>
      <w:r>
        <w:rPr>
          <w:rFonts w:ascii="Arial" w:hAnsi="Arial"/>
          <w:b w:val="0"/>
          <w:i w:val="0"/>
          <w:sz w:val="28"/>
        </w:rPr>
        <w:t>. La autoridad cita la regla y calla la excepción, cuando la excepción es la que decide el caso. Un argumento que omite la parte de la norma que le es adversa no interpreta la norma: la mutila.</w:t>
      </w:r>
    </w:p>
    <w:p>
      <w:pPr>
        <w:spacing w:line="360" w:lineRule="auto"/>
        <w:jc w:val="both"/>
      </w:pPr>
      <w:r>
        <w:rPr>
          <w:rFonts w:ascii="Arial" w:hAnsi="Arial"/>
          <w:b w:val="0"/>
          <w:i w:val="0"/>
          <w:sz w:val="28"/>
        </w:rPr>
        <w:t xml:space="preserve">El segundo movimiento de la autoridad consiste en invocar, como hechos notorios, </w:t>
      </w:r>
      <w:r>
        <w:rPr>
          <w:rFonts w:ascii="Arial" w:hAnsi="Arial"/>
          <w:b/>
          <w:i w:val="0"/>
          <w:sz w:val="28"/>
        </w:rPr>
        <w:t>[PRECEDENTES INVOCADOS POR LA AUTORIDAD]</w:t>
      </w:r>
      <w:r>
        <w:rPr>
          <w:rFonts w:ascii="Arial" w:hAnsi="Arial"/>
          <w:b w:val="0"/>
          <w:i w:val="0"/>
          <w:sz w:val="28"/>
        </w:rPr>
        <w:t>, para sostener que la reforma debe aplicarse incluso a los juicios en estado de sentencia. Ese traslado incurre en falsa analogía, que se configura cuando el argumento analógico no se apoya en una semejanza relevante u olvida las diferencias que impiden la conclusión.</w:t>
      </w:r>
      <w:r>
        <w:rPr>
          <w:rFonts w:ascii="Arial" w:hAnsi="Arial"/>
          <w:vertAlign w:val="superscript"/>
        </w:rPr>
        <w:t>6</w:t>
      </w:r>
    </w:p>
    <w:p>
      <w:pPr>
        <w:spacing w:line="360" w:lineRule="auto"/>
        <w:jc w:val="both"/>
      </w:pPr>
      <w:r>
        <w:rPr>
          <w:rFonts w:ascii="Arial" w:hAnsi="Arial"/>
          <w:b w:val="0"/>
          <w:i w:val="0"/>
          <w:sz w:val="28"/>
        </w:rPr>
        <w:t>Como lo ha reconocido la Sala en casos análogos, las consideraciones formuladas a propósito de trámites accesorios que no causan estado, como la admisión de una recusación, no son trasladables a la subsistencia de la competencia material para sentenciar un juicio admitido, sustanciado y con instrucción cerrada.</w:t>
      </w:r>
    </w:p>
    <w:p>
      <w:pPr>
        <w:spacing w:line="360" w:lineRule="auto"/>
        <w:jc w:val="both"/>
      </w:pPr>
      <w:r>
        <w:rPr>
          <w:rFonts w:ascii="Arial" w:hAnsi="Arial"/>
          <w:b w:val="0"/>
          <w:i w:val="0"/>
          <w:sz w:val="28"/>
        </w:rPr>
        <w:t>La diferencia es justamente la relevante. En un incidente accesorio la actuación no genera derechos adquiridos porque no decide nada definitivo; en el juicio de nulidad con instrucción cerrada, la etapa concluida es el proceso entero, y lo que se pretende retirar es la decisión misma. Equiparar ambas hipótesis es concluir a partir de una semejanza superficial, la existencia de una reforma procesal en ambos casos, y pasar por alto lo que en realidad las separa: la existencia o no de un derecho procesal consolidado.</w:t>
      </w:r>
    </w:p>
    <w:p>
      <w:pPr>
        <w:spacing w:line="360" w:lineRule="auto"/>
        <w:jc w:val="both"/>
      </w:pPr>
      <w:r>
        <w:rPr>
          <w:rFonts w:ascii="Arial" w:hAnsi="Arial"/>
          <w:b w:val="0"/>
          <w:i w:val="0"/>
          <w:sz w:val="28"/>
        </w:rPr>
        <w:t>Además, las sentencias de otras Salas Regionales del propio Tribunal, aun conocidas, no constituyen criterio obligatorio ni tienen la fuerza normativa de la jurisprudencia; sirven como antecedente interpretativo y no desplazan el deber de la Sala de examinar de forma independiente las circunstancias de este juicio.</w:t>
      </w:r>
    </w:p>
    <w:p>
      <w:pPr>
        <w:spacing w:line="360" w:lineRule="auto"/>
        <w:jc w:val="both"/>
      </w:pPr>
      <w:r>
        <w:rPr>
          <w:rFonts w:ascii="Arial" w:hAnsi="Arial"/>
          <w:b w:val="0"/>
          <w:i w:val="0"/>
          <w:sz w:val="28"/>
        </w:rPr>
        <w:t>Aun concediendo que tales resoluciones sean hechos notorios en términos del artículo 88 del Código Federal de Procedimientos Civiles, lo notorio dispensa de prueba, pero no sustituye la subsunción ni convierte una decisión ajena, con objeto y secuela procesal propios, en premisa obligatoria para resolver este asunto.</w:t>
      </w:r>
    </w:p>
    <w:p>
      <w:pPr>
        <w:spacing w:line="360" w:lineRule="auto"/>
        <w:jc w:val="both"/>
      </w:pPr>
      <w:r>
        <w:rPr>
          <w:rFonts w:ascii="Arial" w:hAnsi="Arial"/>
          <w:b w:val="0"/>
          <w:i w:val="0"/>
          <w:sz w:val="28"/>
        </w:rPr>
        <w:t xml:space="preserve">A mayor abundamiento, y con independencia del momento en que se presentó la demanda, la excepción introducida en la fracción II del artículo 3 tiene un ámbito literal preciso: alcanza los créditos </w:t>
      </w:r>
      <w:r>
        <w:rPr>
          <w:rFonts w:ascii="Arial" w:hAnsi="Arial"/>
          <w:b w:val="0"/>
          <w:i/>
          <w:sz w:val="28"/>
        </w:rPr>
        <w:t>«determinados en resoluciones liquidatorias que hubieren sido impugnadas y hayan quedado firmes por resolución de autoridad competente»</w:t>
      </w:r>
      <w:r>
        <w:rPr>
          <w:rFonts w:ascii="Arial" w:hAnsi="Arial"/>
          <w:b w:val="0"/>
          <w:i w:val="0"/>
          <w:sz w:val="28"/>
        </w:rPr>
        <w:t xml:space="preserve"> y los actos que resuelvan solicitudes de prescripción </w:t>
      </w:r>
      <w:r>
        <w:rPr>
          <w:rFonts w:ascii="Arial" w:hAnsi="Arial"/>
          <w:b w:val="0"/>
          <w:i/>
          <w:sz w:val="28"/>
        </w:rPr>
        <w:t>«respecto de dichos créditos»</w:t>
      </w:r>
      <w:r>
        <w:rPr>
          <w:rFonts w:ascii="Arial" w:hAnsi="Arial"/>
          <w:b w:val="0"/>
          <w:i w:val="0"/>
          <w:sz w:val="28"/>
        </w:rPr>
        <w:t>.</w:t>
      </w:r>
    </w:p>
    <w:p>
      <w:pPr>
        <w:spacing w:line="360" w:lineRule="auto"/>
        <w:jc w:val="both"/>
      </w:pPr>
      <w:r>
        <w:rPr>
          <w:rFonts w:ascii="Arial" w:hAnsi="Arial"/>
          <w:b w:val="0"/>
          <w:i w:val="0"/>
          <w:sz w:val="28"/>
        </w:rPr>
        <w:t xml:space="preserve">En el caso, el crédito </w:t>
      </w:r>
      <w:r>
        <w:rPr>
          <w:rFonts w:ascii="Arial" w:hAnsi="Arial"/>
          <w:b/>
          <w:i w:val="0"/>
          <w:sz w:val="28"/>
        </w:rPr>
        <w:t>[SITUACIÓN DEL CRÉDITO: IMPUGNADO O CONSENTIDO]</w:t>
      </w:r>
      <w:r>
        <w:rPr>
          <w:rFonts w:ascii="Arial" w:hAnsi="Arial"/>
          <w:b w:val="0"/>
          <w:i w:val="0"/>
          <w:sz w:val="28"/>
        </w:rPr>
        <w:t>, por lo que la hipótesis de exclusión exige verificar que concurran ambas notas, impugnación previa y firmeza declarada por autoridad competente; si alguna falta, rige la regla general de la fracción II y el Tribunal conserva su competencia.</w:t>
      </w:r>
    </w:p>
    <w:p>
      <w:pPr>
        <w:spacing w:line="360" w:lineRule="auto"/>
        <w:jc w:val="both"/>
      </w:pPr>
      <w:r>
        <w:rPr>
          <w:rFonts w:ascii="Arial" w:hAnsi="Arial"/>
          <w:b w:val="0"/>
          <w:i w:val="0"/>
          <w:sz w:val="28"/>
        </w:rPr>
        <w:t>Esa lectura estricta se impone porque las excepciones a la competencia restringen el acceso a la jurisdicción y, conforme a la doctrina ya citada, los requisitos de procedencia se interpretan en el sentido más favorable a la admisión. Extender la excepción a créditos que nunca fueron impugnados, o a negativas de prescripción cuyos vicios son propios y distintos de los del crédito, sería crear por analogía una causal de improcedencia que la ley no contiene, en contra del carácter expreso y limitativo del artículo 8 de la ley procesal.</w:t>
      </w:r>
    </w:p>
    <w:p>
      <w:pPr>
        <w:spacing w:line="360" w:lineRule="auto"/>
        <w:jc w:val="both"/>
      </w:pPr>
      <w:r>
        <w:rPr>
          <w:rFonts w:ascii="Arial" w:hAnsi="Arial"/>
          <w:b w:val="0"/>
          <w:i w:val="0"/>
          <w:sz w:val="28"/>
        </w:rPr>
        <w:t xml:space="preserve">Finalmente, el resultado práctico confirma el error. Si bastara la reforma para sobreseer, la parte actora, que litigó el juicio completo, quedaría sin sentencia sobre una negativa de prescripción que descansa en gestiones de cobro y suspensiones apoyadas en notificaciones por estrados cuya ilegalidad se demuestra en el concepto de impugnación </w:t>
      </w:r>
      <w:r>
        <w:rPr>
          <w:rFonts w:ascii="Arial" w:hAnsi="Arial"/>
          <w:b/>
          <w:i w:val="0"/>
          <w:sz w:val="28"/>
        </w:rPr>
        <w:t>[ORDINAL DEL CONCEPTO DE IMPUGNACIÓN SOBRE PRESCRIPCIÓN]</w:t>
      </w:r>
      <w:r>
        <w:rPr>
          <w:rFonts w:ascii="Arial" w:hAnsi="Arial"/>
          <w:b w:val="0"/>
          <w:i w:val="0"/>
          <w:sz w:val="28"/>
        </w:rPr>
        <w:t>; y el fisco obtendría, por el mero paso del tiempo entre la instrucción y la sentencia, lo que no pudo obtener en el debate. Ésa es la denegación de justicia que el artículo 17 constitucional proscribe.</w:t>
      </w:r>
    </w:p>
    <w:p>
      <w:pPr>
        <w:spacing w:line="360" w:lineRule="auto"/>
        <w:jc w:val="both"/>
      </w:pPr>
      <w:r>
        <w:rPr>
          <w:rFonts w:ascii="Arial" w:hAnsi="Arial"/>
          <w:b/>
          <w:sz w:val="28"/>
        </w:rPr>
        <w:t>V. Conclusión y petición parcial.</w:t>
      </w:r>
    </w:p>
    <w:p>
      <w:pPr>
        <w:spacing w:line="360" w:lineRule="auto"/>
        <w:jc w:val="both"/>
      </w:pPr>
      <w:r>
        <w:rPr>
          <w:rFonts w:ascii="Arial" w:hAnsi="Arial"/>
          <w:b w:val="0"/>
          <w:i w:val="0"/>
          <w:sz w:val="28"/>
        </w:rPr>
        <w:t>En suma: el juicio se promovió, admitió y sustanció bajo una ley que atribuía competencia a esta Sala; sus etapas esenciales concluyeron antes de la entrada en vigor del Decreto publicado el 16 de octubre de 2025; el artículo Tercero transitorio ordena que esas etapas se rijan por la ley anterior; y la sentencia es la culminación de ese proceso, no una actuación futura. La causal planteada aplica retroactivamente una norma procesal en perjuicio de la parte actora y descansa en dos falacias: la mala aplicación de la regla de aplicación inmediata y la falsa analogía con precedentes sobre trámites accesorios.</w:t>
      </w:r>
    </w:p>
    <w:p>
      <w:pPr>
        <w:spacing w:line="360" w:lineRule="auto"/>
        <w:jc w:val="both"/>
      </w:pPr>
      <w:r>
        <w:rPr>
          <w:rFonts w:ascii="Arial" w:hAnsi="Arial"/>
          <w:b w:val="0"/>
          <w:i w:val="0"/>
          <w:sz w:val="28"/>
        </w:rPr>
        <w:t>Por lo expuesto, se solicita a la Sala desestimar por infundada la causal de improcedencia y sobreseimiento hecha valer con fundamento en los artículos 8, fracción II, y 9, fracción II, de la Ley Federal de Procedimiento Contencioso Administrativo, declarar subsistente su competencia y dictar sentencia de fondo.</w:t>
      </w:r>
    </w:p>
    <w:p>
      <w:pPr>
        <w:spacing w:line="360" w:lineRule="auto"/>
        <w:jc w:val="both"/>
      </w:pPr>
      <w:r>
        <w:rPr>
          <w:rFonts w:ascii="Arial" w:hAnsi="Arial"/>
          <w:b w:val="0"/>
          <w:i w:val="0"/>
          <w:sz w:val="28"/>
        </w:rPr>
        <w:t xml:space="preserve">Al hacerlo, procede declarar la nulidad de la resolución impugnada con fundamento en los artículos 51, fracción IV, y 52, fracción IV, del mismo ordenamiento, para el efecto de que la autoridad reconozca expresamente la prescripción del crédito, en los términos del concepto de impugnación </w:t>
      </w:r>
      <w:r>
        <w:rPr>
          <w:rFonts w:ascii="Arial" w:hAnsi="Arial"/>
          <w:b/>
          <w:i w:val="0"/>
          <w:sz w:val="28"/>
        </w:rPr>
        <w:t>[ORDINAL DEL CONCEPTO DE IMPUGNACIÓN SOBRE PRESCRIPCIÓN]</w:t>
      </w:r>
      <w:r>
        <w:rPr>
          <w:rFonts w:ascii="Arial" w:hAnsi="Arial"/>
          <w:b w:val="0"/>
          <w:i w:val="0"/>
          <w:sz w:val="28"/>
        </w:rPr>
        <w:t>.</w:t>
      </w:r>
    </w:p>
    <w:p/>
    <w:p>
      <w:r>
        <w:rPr>
          <w:rFonts w:ascii="Arial" w:hAnsi="Arial"/>
          <w:b/>
          <w:sz w:val="22"/>
        </w:rPr>
        <w:t>NOTAS</w:t>
      </w:r>
    </w:p>
    <w:p>
      <w:pPr>
        <w:spacing w:after="60"/>
        <w:ind w:left="360" w:hanging="360"/>
        <w:jc w:val="both"/>
      </w:pPr>
      <w:r>
        <w:rPr>
          <w:rFonts w:ascii="Arial" w:hAnsi="Arial"/>
          <w:sz w:val="20"/>
          <w:vertAlign w:val="superscript"/>
        </w:rPr>
        <w:t>1</w:t>
      </w:r>
      <w:r>
        <w:rPr>
          <w:sz w:val="20"/>
        </w:rPr>
        <w:t xml:space="preserve"> </w:t>
      </w:r>
      <w:r>
        <w:rPr>
          <w:rFonts w:ascii="Arial" w:hAnsi="Arial"/>
          <w:i w:val="0"/>
          <w:sz w:val="20"/>
        </w:rPr>
        <w:t xml:space="preserve">MEDELLÍN URQUIAGA, Ximena, </w:t>
      </w:r>
      <w:r>
        <w:rPr>
          <w:rFonts w:ascii="Arial" w:hAnsi="Arial"/>
          <w:i/>
          <w:sz w:val="20"/>
        </w:rPr>
        <w:t>Principio pro persona</w:t>
      </w:r>
      <w:r>
        <w:rPr>
          <w:rFonts w:ascii="Arial" w:hAnsi="Arial"/>
          <w:i w:val="0"/>
          <w:sz w:val="20"/>
        </w:rPr>
        <w:t>, Comisión de Derechos Humanos del Distrito Federal, México, 2013, p. 39.</w:t>
      </w:r>
    </w:p>
    <w:p>
      <w:pPr>
        <w:spacing w:after="60"/>
        <w:ind w:left="360" w:hanging="360"/>
        <w:jc w:val="both"/>
      </w:pPr>
      <w:r>
        <w:rPr>
          <w:rFonts w:ascii="Arial" w:hAnsi="Arial"/>
          <w:sz w:val="20"/>
          <w:vertAlign w:val="superscript"/>
        </w:rPr>
        <w:t>2</w:t>
      </w:r>
      <w:r>
        <w:rPr>
          <w:sz w:val="20"/>
        </w:rPr>
        <w:t xml:space="preserve"> </w:t>
      </w:r>
      <w:r>
        <w:rPr>
          <w:rFonts w:ascii="Arial" w:hAnsi="Arial"/>
          <w:i w:val="0"/>
          <w:sz w:val="20"/>
        </w:rPr>
        <w:t xml:space="preserve">IBARRA OLGUÍN, Ana María (ed.), </w:t>
      </w:r>
      <w:r>
        <w:rPr>
          <w:rFonts w:ascii="Arial" w:hAnsi="Arial"/>
          <w:i/>
          <w:sz w:val="20"/>
        </w:rPr>
        <w:t>Curso de derechos humanos</w:t>
      </w:r>
      <w:r>
        <w:rPr>
          <w:rFonts w:ascii="Arial" w:hAnsi="Arial"/>
          <w:i w:val="0"/>
          <w:sz w:val="20"/>
        </w:rPr>
        <w:t>, Tirant lo Blanch, México, 2022, p. 378.</w:t>
      </w:r>
    </w:p>
    <w:p>
      <w:pPr>
        <w:spacing w:after="60"/>
        <w:ind w:left="360" w:hanging="360"/>
        <w:jc w:val="both"/>
      </w:pPr>
      <w:r>
        <w:rPr>
          <w:rFonts w:ascii="Arial" w:hAnsi="Arial"/>
          <w:sz w:val="20"/>
          <w:vertAlign w:val="superscript"/>
        </w:rPr>
        <w:t>3</w:t>
      </w:r>
      <w:r>
        <w:rPr>
          <w:sz w:val="20"/>
        </w:rPr>
        <w:t xml:space="preserve"> </w:t>
      </w:r>
      <w:r>
        <w:rPr>
          <w:rFonts w:ascii="Arial" w:hAnsi="Arial"/>
          <w:i w:val="0"/>
          <w:sz w:val="20"/>
        </w:rPr>
        <w:t xml:space="preserve">FERRER MAC-GREGOR, Eduardo et al. (coord.), </w:t>
      </w:r>
      <w:r>
        <w:rPr>
          <w:rFonts w:ascii="Arial" w:hAnsi="Arial"/>
          <w:i/>
          <w:sz w:val="20"/>
        </w:rPr>
        <w:t>Diccionario de derecho procesal constitucional y convencional</w:t>
      </w:r>
      <w:r>
        <w:rPr>
          <w:rFonts w:ascii="Arial" w:hAnsi="Arial"/>
          <w:i w:val="0"/>
          <w:sz w:val="20"/>
        </w:rPr>
        <w:t>, 3ª ed., Querétaro, México, 2021, p. 1143.</w:t>
      </w:r>
    </w:p>
    <w:p>
      <w:pPr>
        <w:spacing w:after="60"/>
        <w:ind w:left="360" w:hanging="360"/>
        <w:jc w:val="both"/>
      </w:pPr>
      <w:r>
        <w:rPr>
          <w:rFonts w:ascii="Arial" w:hAnsi="Arial"/>
          <w:sz w:val="20"/>
          <w:vertAlign w:val="superscript"/>
        </w:rPr>
        <w:t>4</w:t>
      </w:r>
      <w:r>
        <w:rPr>
          <w:sz w:val="20"/>
        </w:rPr>
        <w:t xml:space="preserve"> </w:t>
      </w:r>
      <w:r>
        <w:rPr>
          <w:rFonts w:ascii="Arial" w:hAnsi="Arial"/>
          <w:i w:val="0"/>
          <w:sz w:val="20"/>
        </w:rPr>
        <w:t xml:space="preserve">IBARRA OLGUÍN, Ana María (ed.), </w:t>
      </w:r>
      <w:r>
        <w:rPr>
          <w:rFonts w:ascii="Arial" w:hAnsi="Arial"/>
          <w:i/>
          <w:sz w:val="20"/>
        </w:rPr>
        <w:t>Curso de derechos humanos</w:t>
      </w:r>
      <w:r>
        <w:rPr>
          <w:rFonts w:ascii="Arial" w:hAnsi="Arial"/>
          <w:i w:val="0"/>
          <w:sz w:val="20"/>
        </w:rPr>
        <w:t>, Tirant lo Blanch, México, 2022, p. 336.</w:t>
      </w:r>
    </w:p>
    <w:p>
      <w:pPr>
        <w:spacing w:after="60"/>
        <w:ind w:left="360" w:hanging="360"/>
        <w:jc w:val="both"/>
      </w:pPr>
      <w:r>
        <w:rPr>
          <w:rFonts w:ascii="Arial" w:hAnsi="Arial"/>
          <w:sz w:val="20"/>
          <w:vertAlign w:val="superscript"/>
        </w:rPr>
        <w:t>5</w:t>
      </w:r>
      <w:r>
        <w:rPr>
          <w:sz w:val="20"/>
        </w:rPr>
        <w:t xml:space="preserve"> </w:t>
      </w:r>
      <w:r>
        <w:rPr>
          <w:rFonts w:ascii="Arial" w:hAnsi="Arial"/>
          <w:i w:val="0"/>
          <w:sz w:val="20"/>
        </w:rPr>
        <w:t xml:space="preserve">GARCÍA DAMBORENEA, Ricardo, </w:t>
      </w:r>
      <w:r>
        <w:rPr>
          <w:rFonts w:ascii="Arial" w:hAnsi="Arial"/>
          <w:i/>
          <w:sz w:val="20"/>
        </w:rPr>
        <w:t>Diccionario de falacias</w:t>
      </w:r>
      <w:r>
        <w:rPr>
          <w:rFonts w:ascii="Arial" w:hAnsi="Arial"/>
          <w:i w:val="0"/>
          <w:sz w:val="20"/>
        </w:rPr>
        <w:t>, s. f., p. 84.</w:t>
      </w:r>
    </w:p>
    <w:p>
      <w:pPr>
        <w:spacing w:after="60"/>
        <w:ind w:left="360" w:hanging="360"/>
        <w:jc w:val="both"/>
      </w:pPr>
      <w:r>
        <w:rPr>
          <w:rFonts w:ascii="Arial" w:hAnsi="Arial"/>
          <w:sz w:val="20"/>
          <w:vertAlign w:val="superscript"/>
        </w:rPr>
        <w:t>6</w:t>
      </w:r>
      <w:r>
        <w:rPr>
          <w:sz w:val="20"/>
        </w:rPr>
        <w:t xml:space="preserve"> </w:t>
      </w:r>
      <w:r>
        <w:rPr>
          <w:rFonts w:ascii="Arial" w:hAnsi="Arial"/>
          <w:i w:val="0"/>
          <w:sz w:val="20"/>
        </w:rPr>
        <w:t>GARCÍA DAMBORENEA, op. cit.</w:t>
      </w:r>
      <w:r>
        <w:rPr>
          <w:rFonts w:ascii="Arial" w:hAnsi="Arial"/>
          <w:i w:val="0"/>
          <w:sz w:val="20"/>
        </w:rPr>
        <w:t>, p. 9.</w:t>
      </w:r>
    </w:p>
    <w:p/>
    <w:p>
      <w:r>
        <w:rPr>
          <w:rFonts w:ascii="Arial" w:hAnsi="Arial"/>
          <w:b/>
          <w:sz w:val="22"/>
        </w:rPr>
        <w:t>BIBLIOGRAFÍA</w:t>
      </w:r>
    </w:p>
    <w:p>
      <w:pPr>
        <w:spacing w:after="60"/>
        <w:ind w:left="360" w:hanging="360"/>
        <w:jc w:val="both"/>
      </w:pPr>
      <w:r>
        <w:rPr>
          <w:rFonts w:ascii="Arial" w:hAnsi="Arial"/>
          <w:i w:val="0"/>
          <w:sz w:val="20"/>
        </w:rPr>
        <w:t xml:space="preserve">FERRER MAC-GREGOR, Eduardo et al. (coord.), </w:t>
      </w:r>
      <w:r>
        <w:rPr>
          <w:rFonts w:ascii="Arial" w:hAnsi="Arial"/>
          <w:i/>
          <w:sz w:val="20"/>
        </w:rPr>
        <w:t>Diccionario de derecho procesal constitucional y convencional</w:t>
      </w:r>
      <w:r>
        <w:rPr>
          <w:rFonts w:ascii="Arial" w:hAnsi="Arial"/>
          <w:i w:val="0"/>
          <w:sz w:val="20"/>
        </w:rPr>
        <w:t>, 3ª ed., Querétaro, México, 2021.</w:t>
      </w:r>
    </w:p>
    <w:p>
      <w:pPr>
        <w:spacing w:after="60"/>
        <w:ind w:left="360" w:hanging="360"/>
        <w:jc w:val="both"/>
      </w:pPr>
      <w:r>
        <w:rPr>
          <w:rFonts w:ascii="Arial" w:hAnsi="Arial"/>
          <w:i w:val="0"/>
          <w:sz w:val="20"/>
        </w:rPr>
        <w:t xml:space="preserve">GARCÍA DAMBORENEA, Ricardo, </w:t>
      </w:r>
      <w:r>
        <w:rPr>
          <w:rFonts w:ascii="Arial" w:hAnsi="Arial"/>
          <w:i/>
          <w:sz w:val="20"/>
        </w:rPr>
        <w:t>Diccionario de falacias</w:t>
      </w:r>
      <w:r>
        <w:rPr>
          <w:rFonts w:ascii="Arial" w:hAnsi="Arial"/>
          <w:i w:val="0"/>
          <w:sz w:val="20"/>
        </w:rPr>
        <w:t>, s. f.</w:t>
      </w:r>
    </w:p>
    <w:p>
      <w:pPr>
        <w:spacing w:after="60"/>
        <w:ind w:left="360" w:hanging="360"/>
        <w:jc w:val="both"/>
      </w:pPr>
      <w:r>
        <w:rPr>
          <w:rFonts w:ascii="Arial" w:hAnsi="Arial"/>
          <w:i w:val="0"/>
          <w:sz w:val="20"/>
        </w:rPr>
        <w:t xml:space="preserve">IBARRA OLGUÍN, Ana María (ed.), </w:t>
      </w:r>
      <w:r>
        <w:rPr>
          <w:rFonts w:ascii="Arial" w:hAnsi="Arial"/>
          <w:i/>
          <w:sz w:val="20"/>
        </w:rPr>
        <w:t>Curso de derechos humanos</w:t>
      </w:r>
      <w:r>
        <w:rPr>
          <w:rFonts w:ascii="Arial" w:hAnsi="Arial"/>
          <w:i w:val="0"/>
          <w:sz w:val="20"/>
        </w:rPr>
        <w:t>, Tirant lo Blanch, México, 2022.</w:t>
      </w:r>
    </w:p>
    <w:p>
      <w:pPr>
        <w:spacing w:after="60"/>
        <w:ind w:left="360" w:hanging="360"/>
        <w:jc w:val="both"/>
      </w:pPr>
      <w:r>
        <w:rPr>
          <w:rFonts w:ascii="Arial" w:hAnsi="Arial"/>
          <w:i w:val="0"/>
          <w:sz w:val="20"/>
        </w:rPr>
        <w:t xml:space="preserve">MEDELLÍN URQUIAGA, Ximena, </w:t>
      </w:r>
      <w:r>
        <w:rPr>
          <w:rFonts w:ascii="Arial" w:hAnsi="Arial"/>
          <w:i/>
          <w:sz w:val="20"/>
        </w:rPr>
        <w:t>Principio pro persona</w:t>
      </w:r>
      <w:r>
        <w:rPr>
          <w:rFonts w:ascii="Arial" w:hAnsi="Arial"/>
          <w:i w:val="0"/>
          <w:sz w:val="20"/>
        </w:rPr>
        <w:t>, Comisión de Derechos Humanos del Distrito Federal, México, 2013.</w:t>
      </w:r>
    </w:p>
    <w:sectPr w:rsidR="00FC693F" w:rsidRPr="0006063C" w:rsidSect="00034616">
      <w:footerReference w:type="default" r:id="rId9"/>
      <w:pgSz w:w="12246" w:h="19276"/>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20"/>
      </w:rPr>
      <w:t xml:space="preserve">Página </w:t>
    </w:r>
    <w:r>
      <w:rPr>
        <w:rFonts w:ascii="Arial" w:hAnsi="Arial"/>
        <w:sz w:val="20"/>
      </w:rPr>
      <w:fldChar w:fldCharType="begin"/>
      <w:instrText xml:space="preserve">PAGE</w:instrText>
      <w:fldChar w:fldCharType="end"/>
    </w:r>
    <w:r>
      <w:rPr>
        <w:rFonts w:ascii="Arial" w:hAnsi="Arial"/>
        <w:sz w:val="20"/>
      </w:rPr>
      <w:t xml:space="preserve"> de </w:t>
    </w:r>
    <w:r>
      <w:rPr>
        <w:rFonts w:ascii="Arial" w:hAnsi="Arial"/>
        <w:sz w:val="20"/>
      </w:rP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