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8"/>
        </w:rPr>
        <w:t>MACHOTE. DEMANDA DE NULIDAD TFJA. PRESCRIPCIÓN DEL CRÉDITO FISCAL: GESTIONES DE COBRO EN ESTRADOS SIN BUZÓN TRIBUTARIO</w:t>
      </w:r>
    </w:p>
    <w:p>
      <w:pPr>
        <w:jc w:val="center"/>
      </w:pPr>
      <w:r>
        <w:rPr>
          <w:rFonts w:ascii="Arial" w:hAnsi="Arial"/>
          <w:sz w:val="20"/>
        </w:rPr>
        <w:t>Machote gratuito de Academia de Amparo y Derecho — academiadeamparo.com</w:t>
      </w:r>
    </w:p>
    <w:p/>
    <w:p>
      <w:r>
        <w:rPr>
          <w:rFonts w:ascii="Arial" w:hAnsi="Arial"/>
          <w:b/>
          <w:sz w:val="24"/>
        </w:rPr>
        <w:t>CÓMO USAR ESTE MACHOTE</w:t>
      </w:r>
    </w:p>
    <w:p>
      <w:pPr>
        <w:spacing w:line="360" w:lineRule="auto"/>
        <w:jc w:val="both"/>
      </w:pPr>
      <w:r>
        <w:rPr>
          <w:rFonts w:ascii="Arial" w:hAnsi="Arial"/>
          <w:b w:val="0"/>
          <w:i w:val="0"/>
          <w:sz w:val="24"/>
        </w:rPr>
        <w:t>Descarga el machote, léelo completo y adapta el concepto de impugnación a tu demanda de nulidad. Primero reconstruye la línea de tiempo con el expediente del procedimiento administrativo de ejecución: fecha de exigibilidad del crédito, cada mandamiento de ejecución, cada acta circunstanciada, cada notificación por estrados y la fecha de tu solicitud de prescripción.</w:t>
      </w:r>
    </w:p>
    <w:p>
      <w:pPr>
        <w:spacing w:line="360" w:lineRule="auto"/>
        <w:jc w:val="both"/>
      </w:pPr>
      <w:r>
        <w:rPr>
          <w:rFonts w:ascii="Arial" w:hAnsi="Arial"/>
          <w:b w:val="0"/>
          <w:i w:val="0"/>
          <w:sz w:val="24"/>
        </w:rPr>
        <w:t>Revisa la vía de notificación de cada gestión. Si el requerimiento de pago no pudo hacerse en persona porque no te localizaron y la autoridad lo fijó en estrados en vez de enviarlo a tu buzón tributario, el machote encaja; si te lo notificaron en persona o por buzón, este concepto no te sirve para esa gestión.</w:t>
      </w:r>
    </w:p>
    <w:p>
      <w:pPr>
        <w:spacing w:line="360" w:lineRule="auto"/>
        <w:jc w:val="both"/>
      </w:pPr>
      <w:r>
        <w:rPr>
          <w:rFonts w:ascii="Arial" w:hAnsi="Arial"/>
          <w:b w:val="0"/>
          <w:i w:val="0"/>
          <w:sz w:val="24"/>
        </w:rPr>
        <w:t>Coteja las fechas y los textos. La sentencia que inspira el machote es de 19 de febrero de 2026, anterior a la reforma a la Ley Federal de Procedimiento Contencioso Administrativo publicada en el Diario Oficial de la Federación el 9 de junio de 2026; los preceptos de esa ley que cita el machote se cotejaron con su texto vigente. Los del Código Fiscal de la Federación se citan en los textos que transcribió la Sala (el 146 vigente en 2018 y el 137 vigente en 2019), así que verifica el texto aplicable a la fecha de exigibilidad de tu crédito y a la de cada diligencia.</w:t>
      </w:r>
    </w:p>
    <w:p>
      <w:pPr>
        <w:spacing w:line="360" w:lineRule="auto"/>
        <w:jc w:val="both"/>
      </w:pPr>
      <w:r>
        <w:rPr>
          <w:rFonts w:ascii="Arial" w:hAnsi="Arial"/>
          <w:b w:val="0"/>
          <w:i w:val="0"/>
          <w:sz w:val="24"/>
        </w:rPr>
        <w:t>Cuida el plazo. Si impugnas una resolución expresa que niega la prescripción, la demanda se presenta dentro de los treinta días siguientes a aquél en que surta efectos su notificación (artículo 13, fracción I, de la Ley Federal de Procedimiento Contencioso Administrativo, en la vía ordinaria; en la sumaria el plazo también es de treinta días, artículo 58-2, párrafo tercero). Si impugnas la negativa ficta, el artículo 37 del Código Fiscal de la Federación permite demandar en cualquier tiempo posterior al plazo de respuesta, mientras no se dicte la resolución (en el caso que inspira el machote, la Sala tuvo por configurado el silencio porque la respuesta expresa no se notificó antes de que se presentara el escrito inicial); y si la autoridad expone sus motivos o exhibe una resolución expresa al contestar, amplía la demanda dentro del plazo que corresponda a tu vía (artículo 17 de esa ley en la ordinaria y 58-6 en la sumaria).</w:t>
      </w:r>
    </w:p>
    <w:p>
      <w:pPr>
        <w:spacing w:line="360" w:lineRule="auto"/>
        <w:jc w:val="both"/>
      </w:pPr>
      <w:r>
        <w:rPr>
          <w:rFonts w:ascii="Arial" w:hAnsi="Arial"/>
          <w:b w:val="0"/>
          <w:i w:val="0"/>
          <w:sz w:val="24"/>
        </w:rPr>
        <w:t>Llena los campos editables, niega lisa y llanamente en tu demanda haber conocido las gestiones de cobro si así ocurrió, ofrece como prueba el expediente del procedimiento administrativo de ejecución y elimina los párrafos que no correspondan a tu caso, por ejemplo el de la negativa ficta si impugnas una resolución expresa.</w:t>
      </w:r>
    </w:p>
    <w:p>
      <w:pPr>
        <w:spacing w:line="360" w:lineRule="auto"/>
        <w:jc w:val="both"/>
      </w:pPr>
      <w:r>
        <w:rPr>
          <w:rFonts w:ascii="Arial" w:hAnsi="Arial"/>
          <w:b w:val="0"/>
          <w:i w:val="0"/>
          <w:sz w:val="24"/>
        </w:rPr>
        <w:t>Campos editables y qué poner en cada uno:</w:t>
      </w:r>
    </w:p>
    <w:p>
      <w:pPr>
        <w:spacing w:line="360" w:lineRule="auto"/>
        <w:jc w:val="both"/>
      </w:pPr>
      <w:r>
        <w:rPr>
          <w:rFonts w:ascii="Arial" w:hAnsi="Arial"/>
          <w:b/>
          <w:i w:val="0"/>
          <w:sz w:val="24"/>
        </w:rPr>
        <w:t>[NÚMERO ORDINAL DEL CONCEPTO]</w:t>
      </w:r>
      <w:r>
        <w:rPr>
          <w:rFonts w:ascii="Arial" w:hAnsi="Arial"/>
          <w:b w:val="0"/>
          <w:i w:val="0"/>
          <w:sz w:val="24"/>
        </w:rPr>
        <w:t>: el ordinal que le corresponda en tu demanda o en tu ampliación (PRIMERO, SEGUNDO…).</w:t>
      </w:r>
    </w:p>
    <w:p>
      <w:pPr>
        <w:spacing w:line="360" w:lineRule="auto"/>
        <w:jc w:val="both"/>
      </w:pPr>
      <w:r>
        <w:rPr>
          <w:rFonts w:ascii="Arial" w:hAnsi="Arial"/>
          <w:b/>
          <w:i w:val="0"/>
          <w:sz w:val="24"/>
        </w:rPr>
        <w:t>[IDENTIFICACIÓN DE LA RESOLUCIÓN IMPUGNADA]</w:t>
      </w:r>
      <w:r>
        <w:rPr>
          <w:rFonts w:ascii="Arial" w:hAnsi="Arial"/>
          <w:b w:val="0"/>
          <w:i w:val="0"/>
          <w:sz w:val="24"/>
        </w:rPr>
        <w:t>: la negativa ficta recaída a tu solicitud de prescripción, o la resolución expresa con su número de oficio y fecha.</w:t>
      </w:r>
    </w:p>
    <w:p>
      <w:pPr>
        <w:spacing w:line="360" w:lineRule="auto"/>
        <w:jc w:val="both"/>
      </w:pPr>
      <w:r>
        <w:rPr>
          <w:rFonts w:ascii="Arial" w:hAnsi="Arial"/>
          <w:b/>
          <w:i w:val="0"/>
          <w:sz w:val="24"/>
        </w:rPr>
        <w:t>[AUTORIDAD DEMANDADA]</w:t>
      </w:r>
      <w:r>
        <w:rPr>
          <w:rFonts w:ascii="Arial" w:hAnsi="Arial"/>
          <w:b w:val="0"/>
          <w:i w:val="0"/>
          <w:sz w:val="24"/>
        </w:rPr>
        <w:t>: la unidad administrativa ante la que presentaste la solicitud o que emitió la respuesta, con su denominación completa.</w:t>
      </w:r>
    </w:p>
    <w:p>
      <w:pPr>
        <w:spacing w:line="360" w:lineRule="auto"/>
        <w:jc w:val="both"/>
      </w:pPr>
      <w:r>
        <w:rPr>
          <w:rFonts w:ascii="Arial" w:hAnsi="Arial"/>
          <w:b/>
          <w:i w:val="0"/>
          <w:sz w:val="24"/>
        </w:rPr>
        <w:t>[NOMBRE DE LA PARTE ACTORA]</w:t>
      </w:r>
      <w:r>
        <w:rPr>
          <w:rFonts w:ascii="Arial" w:hAnsi="Arial"/>
          <w:b w:val="0"/>
          <w:i w:val="0"/>
          <w:sz w:val="24"/>
        </w:rPr>
        <w:t>: la persona física o moral a cuyo cargo se determinó el crédito.</w:t>
      </w:r>
    </w:p>
    <w:p>
      <w:pPr>
        <w:spacing w:line="360" w:lineRule="auto"/>
        <w:jc w:val="both"/>
      </w:pPr>
      <w:r>
        <w:rPr>
          <w:rFonts w:ascii="Arial" w:hAnsi="Arial"/>
          <w:b/>
          <w:i w:val="0"/>
          <w:sz w:val="24"/>
        </w:rPr>
        <w:t>[NÚMERO Y FECHA DEL OFICIO DETERMINANTE DEL CRÉDITO]</w:t>
      </w:r>
      <w:r>
        <w:rPr>
          <w:rFonts w:ascii="Arial" w:hAnsi="Arial"/>
          <w:b w:val="0"/>
          <w:i w:val="0"/>
          <w:sz w:val="24"/>
        </w:rPr>
        <w:t>: el oficio que determinó el crédito fiscal, tal como aparece en él.</w:t>
      </w:r>
    </w:p>
    <w:p>
      <w:pPr>
        <w:spacing w:line="360" w:lineRule="auto"/>
        <w:jc w:val="both"/>
      </w:pPr>
      <w:r>
        <w:rPr>
          <w:rFonts w:ascii="Arial" w:hAnsi="Arial"/>
          <w:b/>
          <w:i w:val="0"/>
          <w:sz w:val="24"/>
        </w:rPr>
        <w:t>[AUTORIDAD QUE DETERMINÓ EL CRÉDITO]</w:t>
      </w:r>
      <w:r>
        <w:rPr>
          <w:rFonts w:ascii="Arial" w:hAnsi="Arial"/>
          <w:b w:val="0"/>
          <w:i w:val="0"/>
          <w:sz w:val="24"/>
        </w:rPr>
        <w:t>: la autoridad emisora del oficio determinante (por ejemplo, una aduana o una administración desconcentrada).</w:t>
      </w:r>
    </w:p>
    <w:p>
      <w:pPr>
        <w:spacing w:line="360" w:lineRule="auto"/>
        <w:jc w:val="both"/>
      </w:pPr>
      <w:r>
        <w:rPr>
          <w:rFonts w:ascii="Arial" w:hAnsi="Arial"/>
          <w:b/>
          <w:i w:val="0"/>
          <w:sz w:val="24"/>
        </w:rPr>
        <w:t>[FECHA DE LA SOLICITUD DE PRESCRIPCIÓN]</w:t>
      </w:r>
      <w:r>
        <w:rPr>
          <w:rFonts w:ascii="Arial" w:hAnsi="Arial"/>
          <w:b w:val="0"/>
          <w:i w:val="0"/>
          <w:sz w:val="24"/>
        </w:rPr>
        <w:t>: el día en que presentaste el escrito en que pediste que se declarara prescrito el crédito; toma la del sello de recepción.</w:t>
      </w:r>
    </w:p>
    <w:p>
      <w:pPr>
        <w:spacing w:line="360" w:lineRule="auto"/>
        <w:jc w:val="both"/>
      </w:pPr>
      <w:r>
        <w:rPr>
          <w:rFonts w:ascii="Arial" w:hAnsi="Arial"/>
          <w:b/>
          <w:i w:val="0"/>
          <w:sz w:val="24"/>
        </w:rPr>
        <w:t>[FECHA DE EXIGIBILIDAD DEL CRÉDITO]</w:t>
      </w:r>
      <w:r>
        <w:rPr>
          <w:rFonts w:ascii="Arial" w:hAnsi="Arial"/>
          <w:b w:val="0"/>
          <w:i w:val="0"/>
          <w:sz w:val="24"/>
        </w:rPr>
        <w:t>: la fecha en que el pago pudo ser legalmente exigido; revisa cuándo surtió efectos la notificación del crédito y si fue impugnado.</w:t>
      </w:r>
    </w:p>
    <w:p>
      <w:pPr>
        <w:spacing w:line="360" w:lineRule="auto"/>
        <w:jc w:val="both"/>
      </w:pPr>
      <w:r>
        <w:rPr>
          <w:rFonts w:ascii="Arial" w:hAnsi="Arial"/>
          <w:b/>
          <w:i w:val="0"/>
          <w:sz w:val="24"/>
        </w:rPr>
        <w:t>[NÚMERO Y FECHA DEL MANDAMIENTO DE EJECUCIÓN]</w:t>
      </w:r>
      <w:r>
        <w:rPr>
          <w:rFonts w:ascii="Arial" w:hAnsi="Arial"/>
          <w:b w:val="0"/>
          <w:i w:val="0"/>
          <w:sz w:val="24"/>
        </w:rPr>
        <w:t>: el mandamiento que la autoridad invoca como gestión de cobro; si son varios, repite el párrafo de hechos por cada uno.</w:t>
      </w:r>
    </w:p>
    <w:p>
      <w:pPr>
        <w:spacing w:line="360" w:lineRule="auto"/>
        <w:jc w:val="both"/>
      </w:pPr>
      <w:r>
        <w:rPr>
          <w:rFonts w:ascii="Arial" w:hAnsi="Arial"/>
          <w:b/>
          <w:i w:val="0"/>
          <w:sz w:val="24"/>
        </w:rPr>
        <w:t>[FECHA DEL ACTA CIRCUNSTANCIADA]</w:t>
      </w:r>
      <w:r>
        <w:rPr>
          <w:rFonts w:ascii="Arial" w:hAnsi="Arial"/>
          <w:b w:val="0"/>
          <w:i w:val="0"/>
          <w:sz w:val="24"/>
        </w:rPr>
        <w:t>: la fecha de la diligencia en que el notificador asentó que no localizó a la persona deudora.</w:t>
      </w:r>
    </w:p>
    <w:p>
      <w:pPr>
        <w:spacing w:line="360" w:lineRule="auto"/>
        <w:jc w:val="both"/>
      </w:pPr>
      <w:r>
        <w:rPr>
          <w:rFonts w:ascii="Arial" w:hAnsi="Arial"/>
          <w:b/>
          <w:i w:val="0"/>
          <w:sz w:val="24"/>
        </w:rPr>
        <w:t>[FECHA DE LA NOTIFICACIÓN POR ESTRADOS]</w:t>
      </w:r>
      <w:r>
        <w:rPr>
          <w:rFonts w:ascii="Arial" w:hAnsi="Arial"/>
          <w:b w:val="0"/>
          <w:i w:val="0"/>
          <w:sz w:val="24"/>
        </w:rPr>
        <w:t>: el día en que la autoridad tuvo por notificado el mandamiento mediante estrados.</w:t>
      </w:r>
    </w:p>
    <w:p>
      <w:pPr>
        <w:spacing w:line="360" w:lineRule="auto"/>
        <w:jc w:val="both"/>
      </w:pPr>
      <w:r>
        <w:rPr>
          <w:rFonts w:ascii="Arial" w:hAnsi="Arial"/>
          <w:b/>
          <w:i w:val="0"/>
          <w:sz w:val="24"/>
        </w:rPr>
        <w:t>[DEFECTO CONCRETO DEL ACTA CIRCUNSTANCIADA]</w:t>
      </w:r>
      <w:r>
        <w:rPr>
          <w:rFonts w:ascii="Arial" w:hAnsi="Arial"/>
          <w:b w:val="0"/>
          <w:i w:val="0"/>
          <w:sz w:val="24"/>
        </w:rPr>
        <w:t>: lo que impide tener por acreditada la no localización: domicilio incompleto (sin número interior o sin letra del edificio), dicho aislado de vecinos o de un vigilante, falta de precisión del supuesto de la fracción III del artículo 134 del Código Fiscal de la Federación.</w:t>
      </w:r>
    </w:p>
    <w:p>
      <w:pPr>
        <w:spacing w:line="360" w:lineRule="auto"/>
        <w:jc w:val="both"/>
      </w:pPr>
      <w:r>
        <w:rPr>
          <w:rFonts w:ascii="Arial" w:hAnsi="Arial"/>
          <w:b/>
          <w:i w:val="0"/>
          <w:sz w:val="24"/>
        </w:rPr>
        <w:t>[FECHA EN QUE SE CONSUMÓ LA PRESCRIPCIÓN]</w:t>
      </w:r>
      <w:r>
        <w:rPr>
          <w:rFonts w:ascii="Arial" w:hAnsi="Arial"/>
          <w:b w:val="0"/>
          <w:i w:val="0"/>
          <w:sz w:val="24"/>
        </w:rPr>
        <w:t>: el último día del plazo, contado sin las gestiones ilegales; hazlo con calendario y con el texto aplicable del artículo 146.</w:t>
      </w:r>
    </w:p>
    <w:p>
      <w:pPr>
        <w:spacing w:line="360" w:lineRule="auto"/>
        <w:jc w:val="both"/>
      </w:pPr>
      <w:r>
        <w:rPr>
          <w:rFonts w:ascii="Arial" w:hAnsi="Arial"/>
          <w:b/>
          <w:i w:val="0"/>
          <w:sz w:val="24"/>
        </w:rPr>
        <w:t>[FECHA DE CONSUMACIÓN COMPUTADA DESDE LA GESTIÓN MÁS ANTIGUA]</w:t>
      </w:r>
      <w:r>
        <w:rPr>
          <w:rFonts w:ascii="Arial" w:hAnsi="Arial"/>
          <w:b w:val="0"/>
          <w:i w:val="0"/>
          <w:sz w:val="24"/>
        </w:rPr>
        <w:t>: la fecha en que se habría consumado el plazo si la gestión más antigua fuera válida; si no te favorece, suprime esa parte del párrafo.</w:t>
      </w:r>
    </w:p>
    <w:p>
      <w:pPr>
        <w:spacing w:line="360" w:lineRule="auto"/>
        <w:jc w:val="both"/>
      </w:pPr>
      <w:r>
        <w:rPr>
          <w:rFonts w:ascii="Arial" w:hAnsi="Arial"/>
          <w:b/>
          <w:i w:val="0"/>
          <w:sz w:val="24"/>
        </w:rPr>
        <w:t>[VERIFICAR TEXTO VIGENTE EN CADA DILIGENCIA]</w:t>
      </w:r>
      <w:r>
        <w:rPr>
          <w:rFonts w:ascii="Arial" w:hAnsi="Arial"/>
          <w:b w:val="0"/>
          <w:i w:val="0"/>
          <w:sz w:val="24"/>
        </w:rPr>
        <w:t>: coteja el tercer párrafo del artículo 137 del Código Fiscal de la Federación en el texto vigente a la fecha de cada diligencia y borra la marca; el machote transcribe el de 2019, que es el que citó la Sala.</w:t>
      </w:r>
    </w:p>
    <w:p/>
    <w:p>
      <w:pPr>
        <w:spacing w:line="360" w:lineRule="auto"/>
        <w:jc w:val="both"/>
      </w:pPr>
      <w:r>
        <w:rPr>
          <w:rFonts w:ascii="Arial" w:hAnsi="Arial"/>
          <w:b/>
          <w:sz w:val="28"/>
        </w:rPr>
        <w:t>[NÚMERO ORDINAL DEL CONCEPTO] CONCEPTO DE IMPUGNACIÓN. Las gestiones de cobro que la autoridad fijó en estrados, sin acudir al buzón tributario que exige el artículo 137, tercer párrafo, del Código Fiscal de la Federación para el requerimiento de pago, no interrumpieron el plazo de prescripción del crédito fiscal previsto en el numeral 146 de ese ordenamiento, de modo que la negativa a declarar extinguido el adeudo actualiza la causal de ilegalidad de la fracción IV del precepto 51 de la Ley Federal de Procedimiento Contencioso Administrativo.</w:t>
      </w:r>
    </w:p>
    <w:p>
      <w:pPr>
        <w:spacing w:line="360" w:lineRule="auto"/>
        <w:jc w:val="both"/>
      </w:pPr>
      <w:r>
        <w:rPr>
          <w:rFonts w:ascii="Arial" w:hAnsi="Arial"/>
          <w:b/>
          <w:sz w:val="28"/>
        </w:rPr>
        <w:t>I. Síntesis del concepto.</w:t>
      </w:r>
    </w:p>
    <w:p>
      <w:pPr>
        <w:spacing w:line="360" w:lineRule="auto"/>
        <w:jc w:val="both"/>
      </w:pPr>
      <w:r>
        <w:rPr>
          <w:rFonts w:ascii="Arial" w:hAnsi="Arial"/>
          <w:b w:val="0"/>
          <w:i w:val="0"/>
          <w:sz w:val="28"/>
        </w:rPr>
        <w:t xml:space="preserve">En este apartado se demostrará que </w:t>
      </w:r>
      <w:r>
        <w:rPr>
          <w:rFonts w:ascii="Arial" w:hAnsi="Arial"/>
          <w:b/>
          <w:i w:val="0"/>
          <w:sz w:val="28"/>
        </w:rPr>
        <w:t>[IDENTIFICACIÓN DE LA RESOLUCIÓN IMPUGNADA]</w:t>
      </w:r>
      <w:r>
        <w:rPr>
          <w:rFonts w:ascii="Arial" w:hAnsi="Arial"/>
          <w:b w:val="0"/>
          <w:i w:val="0"/>
          <w:sz w:val="28"/>
        </w:rPr>
        <w:t xml:space="preserve">, por la que la </w:t>
      </w:r>
      <w:r>
        <w:rPr>
          <w:rFonts w:ascii="Arial" w:hAnsi="Arial"/>
          <w:b/>
          <w:i w:val="0"/>
          <w:sz w:val="28"/>
        </w:rPr>
        <w:t>[AUTORIDAD DEMANDADA]</w:t>
      </w:r>
      <w:r>
        <w:rPr>
          <w:rFonts w:ascii="Arial" w:hAnsi="Arial"/>
          <w:b w:val="0"/>
          <w:i w:val="0"/>
          <w:sz w:val="28"/>
        </w:rPr>
        <w:t xml:space="preserve"> se negó a declarar prescrito el crédito fiscal determinado a cargo de </w:t>
      </w:r>
      <w:r>
        <w:rPr>
          <w:rFonts w:ascii="Arial" w:hAnsi="Arial"/>
          <w:b/>
          <w:i w:val="0"/>
          <w:sz w:val="28"/>
        </w:rPr>
        <w:t>[NOMBRE DE LA PARTE ACTORA]</w:t>
      </w:r>
      <w:r>
        <w:rPr>
          <w:rFonts w:ascii="Arial" w:hAnsi="Arial"/>
          <w:b w:val="0"/>
          <w:i w:val="0"/>
          <w:sz w:val="28"/>
        </w:rPr>
        <w:t xml:space="preserve"> en el oficio </w:t>
      </w:r>
      <w:r>
        <w:rPr>
          <w:rFonts w:ascii="Arial" w:hAnsi="Arial"/>
          <w:b/>
          <w:i w:val="0"/>
          <w:sz w:val="28"/>
        </w:rPr>
        <w:t>[NÚMERO Y FECHA DEL OFICIO DETERMINANTE DEL CRÉDITO]</w:t>
      </w:r>
      <w:r>
        <w:rPr>
          <w:rFonts w:ascii="Arial" w:hAnsi="Arial"/>
          <w:b w:val="0"/>
          <w:i w:val="0"/>
          <w:sz w:val="28"/>
        </w:rPr>
        <w:t>, es ilegal, toda vez que las gestiones con que pretende tener por interrumpido el término de cinco años se fijaron en estrados cuando la norma especial ordenaba notificarlas por buzón tributario, de suerte que nunca se hicieron del conocimiento de la persona deudora ni produjeron el efecto interruptor que se les atribuye.</w:t>
      </w:r>
    </w:p>
    <w:p>
      <w:pPr>
        <w:spacing w:line="360" w:lineRule="auto"/>
        <w:jc w:val="both"/>
      </w:pPr>
      <w:r>
        <w:rPr>
          <w:rFonts w:ascii="Arial" w:hAnsi="Arial"/>
          <w:b w:val="0"/>
          <w:i w:val="0"/>
          <w:sz w:val="28"/>
        </w:rPr>
        <w:t>La demostración sigue tres pasos, el primero de los cuales consiste en que la gestión de cobro sólo interrumpe la prescripción cuando se notifica o se hace saber al deudor. En segundo lugar, si el requerimiento de pago no puede practicarse personalmente porque el contribuyente no es localizado, la ley tributaria impone el buzón como cauce específico, que desplaza a la regla general de los estrados; por último, aun bajo esta última, el acta del notificador debe acreditar de manera categórica la hipótesis que autoriza la vía excepcional.</w:t>
      </w:r>
    </w:p>
    <w:p>
      <w:pPr>
        <w:spacing w:line="360" w:lineRule="auto"/>
        <w:jc w:val="both"/>
      </w:pPr>
      <w:r>
        <w:rPr>
          <w:rFonts w:ascii="Arial" w:hAnsi="Arial"/>
          <w:b w:val="0"/>
          <w:i w:val="0"/>
          <w:sz w:val="28"/>
        </w:rPr>
        <w:t xml:space="preserve">Si esas premisas se respetan, el plazo corrió sin interrupción válida y se consumó el </w:t>
      </w:r>
      <w:r>
        <w:rPr>
          <w:rFonts w:ascii="Arial" w:hAnsi="Arial"/>
          <w:b/>
          <w:i w:val="0"/>
          <w:sz w:val="28"/>
        </w:rPr>
        <w:t>[FECHA EN QUE SE CONSUMÓ LA PRESCRIPCIÓN]</w:t>
      </w:r>
      <w:r>
        <w:rPr>
          <w:rFonts w:ascii="Arial" w:hAnsi="Arial"/>
          <w:b w:val="0"/>
          <w:i w:val="0"/>
          <w:sz w:val="28"/>
        </w:rPr>
        <w:t>, antes de que se solicitara su declaratoria, por lo que la resolución combatida se dictó en contravención del artículo 146 del Código Fiscal de la Federación y procede decretar su nulidad lisa y llana con apoyo en los numerales 51, fracción IV, y 52, fracción II, de la Ley Federal de Procedimiento Contencioso Administrativo, junto con el pronunciamiento de que el crédito se encuentra extinguido.</w:t>
      </w:r>
    </w:p>
    <w:p>
      <w:pPr>
        <w:spacing w:line="360" w:lineRule="auto"/>
        <w:jc w:val="both"/>
      </w:pPr>
      <w:r>
        <w:rPr>
          <w:rFonts w:ascii="Arial" w:hAnsi="Arial"/>
          <w:b/>
          <w:sz w:val="28"/>
        </w:rPr>
        <w:t>II. Planteamiento.</w:t>
      </w:r>
    </w:p>
    <w:p>
      <w:pPr>
        <w:spacing w:line="360" w:lineRule="auto"/>
        <w:jc w:val="both"/>
      </w:pPr>
      <w:r>
        <w:rPr>
          <w:rFonts w:ascii="Arial" w:hAnsi="Arial"/>
          <w:b w:val="0"/>
          <w:i w:val="0"/>
          <w:sz w:val="28"/>
        </w:rPr>
        <w:t xml:space="preserve">El acto cuya nulidad se demanda es </w:t>
      </w:r>
      <w:r>
        <w:rPr>
          <w:rFonts w:ascii="Arial" w:hAnsi="Arial"/>
          <w:b/>
          <w:i w:val="0"/>
          <w:sz w:val="28"/>
        </w:rPr>
        <w:t>[IDENTIFICACIÓN DE LA RESOLUCIÓN IMPUGNADA]</w:t>
      </w:r>
      <w:r>
        <w:rPr>
          <w:rFonts w:ascii="Arial" w:hAnsi="Arial"/>
          <w:b w:val="0"/>
          <w:i w:val="0"/>
          <w:sz w:val="28"/>
        </w:rPr>
        <w:t xml:space="preserve">, recaída a la solicitud presentada el </w:t>
      </w:r>
      <w:r>
        <w:rPr>
          <w:rFonts w:ascii="Arial" w:hAnsi="Arial"/>
          <w:b/>
          <w:i w:val="0"/>
          <w:sz w:val="28"/>
        </w:rPr>
        <w:t>[FECHA DE LA SOLICITUD DE PRESCRIPCIÓN]</w:t>
      </w:r>
      <w:r>
        <w:rPr>
          <w:rFonts w:ascii="Arial" w:hAnsi="Arial"/>
          <w:b w:val="0"/>
          <w:i w:val="0"/>
          <w:sz w:val="28"/>
        </w:rPr>
        <w:t xml:space="preserve"> ante la </w:t>
      </w:r>
      <w:r>
        <w:rPr>
          <w:rFonts w:ascii="Arial" w:hAnsi="Arial"/>
          <w:b/>
          <w:i w:val="0"/>
          <w:sz w:val="28"/>
        </w:rPr>
        <w:t>[AUTORIDAD DEMANDADA]</w:t>
      </w:r>
      <w:r>
        <w:rPr>
          <w:rFonts w:ascii="Arial" w:hAnsi="Arial"/>
          <w:b w:val="0"/>
          <w:i w:val="0"/>
          <w:sz w:val="28"/>
        </w:rPr>
        <w:t xml:space="preserve">, en la que la parte actora pidió la extinción por prescripción del crédito fiscal determinado por la </w:t>
      </w:r>
      <w:r>
        <w:rPr>
          <w:rFonts w:ascii="Arial" w:hAnsi="Arial"/>
          <w:b/>
          <w:i w:val="0"/>
          <w:sz w:val="28"/>
        </w:rPr>
        <w:t>[AUTORIDAD QUE DETERMINÓ EL CRÉDITO]</w:t>
      </w:r>
      <w:r>
        <w:rPr>
          <w:rFonts w:ascii="Arial" w:hAnsi="Arial"/>
          <w:b w:val="0"/>
          <w:i w:val="0"/>
          <w:sz w:val="28"/>
        </w:rPr>
        <w:t>, con apoyo en el artículo 146 del Código Fiscal de la Federación, que autoriza ese pronunciamiento de oficio o a petición del contribuyente.</w:t>
      </w:r>
    </w:p>
    <w:p>
      <w:pPr>
        <w:spacing w:line="360" w:lineRule="auto"/>
        <w:jc w:val="both"/>
      </w:pPr>
      <w:r>
        <w:rPr>
          <w:rFonts w:ascii="Arial" w:hAnsi="Arial"/>
          <w:b w:val="0"/>
          <w:i w:val="0"/>
          <w:sz w:val="28"/>
        </w:rPr>
        <w:t>El planteamiento coincide con lo resuelto el 19 de febrero de 2026 por una Sala Regional de este Tribunal, en un juicio de la vía ordinaria en el que anuló la negativa a declarar prescrito un crédito determinado por una aduana, criterio que se invoca sólo a título ilustrativo, pues no constituye jurisprudencia ni precedente obligatorio, y cuyas consideraciones descansan en los textos del código tributario federal que regían en 2018 y 2019.</w:t>
      </w:r>
    </w:p>
    <w:p>
      <w:pPr>
        <w:spacing w:line="360" w:lineRule="auto"/>
        <w:jc w:val="both"/>
      </w:pPr>
      <w:r>
        <w:rPr>
          <w:rFonts w:ascii="Arial" w:hAnsi="Arial"/>
          <w:b w:val="0"/>
          <w:i w:val="0"/>
          <w:sz w:val="28"/>
        </w:rPr>
        <w:t xml:space="preserve">Si la autoridad no notificó respuesta dentro del plazo del artículo 37 del propio código, el interesado puede </w:t>
      </w:r>
      <w:r>
        <w:rPr>
          <w:rFonts w:ascii="Arial" w:hAnsi="Arial"/>
          <w:b w:val="0"/>
          <w:i/>
          <w:sz w:val="28"/>
        </w:rPr>
        <w:t>“considerar que la autoridad resolvió negativamente e interponer los medios de defensa en cualquier tiempo posterior a dicho plazo, mientras no se dicte la resolución”</w:t>
      </w:r>
      <w:r>
        <w:rPr>
          <w:rFonts w:ascii="Arial" w:hAnsi="Arial"/>
          <w:b w:val="0"/>
          <w:i w:val="0"/>
          <w:sz w:val="28"/>
        </w:rPr>
        <w:t>, caso en el cual la demandada expresará al contestar los hechos y el derecho en que apoya la negativa, conforme al numeral 22 de la Ley Federal de Procedimiento Contencioso Administrativo, y este concepto podrá formularse o reforzarse en la ampliación que autoriza el precepto 17, fracción I, de ese ordenamiento.</w:t>
      </w:r>
    </w:p>
    <w:p>
      <w:pPr>
        <w:spacing w:line="360" w:lineRule="auto"/>
        <w:jc w:val="both"/>
      </w:pPr>
      <w:r>
        <w:rPr>
          <w:rFonts w:ascii="Arial" w:hAnsi="Arial"/>
          <w:b w:val="0"/>
          <w:i w:val="0"/>
          <w:sz w:val="28"/>
        </w:rPr>
        <w:t>Si, además, la enjuiciada exhibe una resolución expresa sin acreditar que la notificó antes de la presentación de la demanda, en la ampliación debe pedirse también su nulidad lisa y llana, porque sobre una misma instancia no pueden coexistir válidamente dos respuestas, como lo razonó esa Sala Regional en el asunto mencionado.</w:t>
      </w:r>
    </w:p>
    <w:p>
      <w:pPr>
        <w:spacing w:line="360" w:lineRule="auto"/>
        <w:jc w:val="both"/>
      </w:pPr>
      <w:r>
        <w:rPr>
          <w:rFonts w:ascii="Arial" w:hAnsi="Arial"/>
          <w:b w:val="0"/>
          <w:i w:val="0"/>
          <w:sz w:val="28"/>
        </w:rPr>
        <w:t>Las normas cuya inobservancia se plantea son el artículo 146 del Código Fiscal de la Federación, en el texto vigente cuando el crédito se volvió exigible, y los numerales 134, fracción III, y 137, tercer párrafo, del mismo ordenamiento, en la redacción que regía a la fecha de cada diligencia. También se vulneran los preceptos 14 y 16 de la Constitución Política de los Estados Unidos Mexicanos, de los que derivan la seguridad jurídica y la exigencia de que todo acto de molestia conste en mandamiento escrito de autoridad competente que funde y motive la causa legal del procedimiento.</w:t>
      </w:r>
    </w:p>
    <w:p>
      <w:pPr>
        <w:spacing w:line="360" w:lineRule="auto"/>
        <w:jc w:val="both"/>
      </w:pPr>
      <w:r>
        <w:rPr>
          <w:rFonts w:ascii="Arial" w:hAnsi="Arial"/>
          <w:b w:val="0"/>
          <w:i w:val="0"/>
          <w:sz w:val="28"/>
        </w:rPr>
        <w:t>El perjuicio es directo, pues mientras subsista la resolución combatida la parte actora queda expuesta al procedimiento administrativo de ejecución respecto de un adeudo que la ley tuvo por extinguido, y el beneficio que se persigue es el mayor posible, ya que el artículo 50, segundo párrafo, de la Ley Federal de Procedimiento Contencioso Administrativo ordena examinar primero las causales que puedan llevar a la nulidad lisa y llana, como la que aquí se hace valer.</w:t>
      </w:r>
    </w:p>
    <w:p>
      <w:pPr>
        <w:spacing w:line="360" w:lineRule="auto"/>
        <w:jc w:val="both"/>
      </w:pPr>
      <w:r>
        <w:rPr>
          <w:rFonts w:ascii="Arial" w:hAnsi="Arial"/>
          <w:b/>
          <w:sz w:val="28"/>
        </w:rPr>
        <w:t>III. Desarrollo doctrinal y normativo. Premisa mayor.</w:t>
      </w:r>
    </w:p>
    <w:p>
      <w:pPr>
        <w:spacing w:line="360" w:lineRule="auto"/>
        <w:jc w:val="both"/>
      </w:pPr>
      <w:r>
        <w:rPr>
          <w:rFonts w:ascii="Arial" w:hAnsi="Arial"/>
          <w:b w:val="0"/>
          <w:i w:val="0"/>
          <w:sz w:val="28"/>
        </w:rPr>
        <w:t>La prescripción de los créditos fiscales es una manifestación de la seguridad jurídica, que el Diccionario de derecho procesal constitucional y convencional entiende como la estabilidad de un orden jurídico dotado de normas permanentes que aseguren el equilibrio entre el poder público y los ciudadanos.</w:t>
      </w:r>
      <w:r>
        <w:rPr>
          <w:rFonts w:ascii="Arial" w:hAnsi="Arial"/>
          <w:vertAlign w:val="superscript"/>
        </w:rPr>
        <w:t>1</w:t>
      </w:r>
      <w:r>
        <w:rPr>
          <w:rFonts w:ascii="Arial" w:hAnsi="Arial"/>
          <w:b w:val="0"/>
          <w:i w:val="0"/>
          <w:sz w:val="28"/>
        </w:rPr>
        <w:t xml:space="preserve"> Trasladada al vínculo tributario, esa garantía significa que el fisco dispone de un tiempo cierto para cobrar y que, agotado sin actos eficaces de cobranza, la obligación se extingue por ministerio de ley.</w:t>
      </w:r>
    </w:p>
    <w:p>
      <w:pPr>
        <w:spacing w:line="360" w:lineRule="auto"/>
        <w:jc w:val="both"/>
      </w:pPr>
      <w:r>
        <w:rPr>
          <w:rFonts w:ascii="Arial" w:hAnsi="Arial"/>
          <w:b w:val="0"/>
          <w:i w:val="0"/>
          <w:sz w:val="28"/>
        </w:rPr>
        <w:t xml:space="preserve">El artículo 146 del Código Fiscal de la Federación, en el texto vigente en 2018 que transcribió la Sala Regional, dispone que </w:t>
      </w:r>
      <w:r>
        <w:rPr>
          <w:rFonts w:ascii="Arial" w:hAnsi="Arial"/>
          <w:b w:val="0"/>
          <w:i/>
          <w:sz w:val="28"/>
        </w:rPr>
        <w:t>“El crédito fiscal se extingue por prescripción en el término de cinco años”</w:t>
      </w:r>
      <w:r>
        <w:rPr>
          <w:rFonts w:ascii="Arial" w:hAnsi="Arial"/>
          <w:b w:val="0"/>
          <w:i w:val="0"/>
          <w:sz w:val="28"/>
        </w:rPr>
        <w:t xml:space="preserve">, que ese término </w:t>
      </w:r>
      <w:r>
        <w:rPr>
          <w:rFonts w:ascii="Arial" w:hAnsi="Arial"/>
          <w:b w:val="0"/>
          <w:i/>
          <w:sz w:val="28"/>
        </w:rPr>
        <w:t>“se interrumpe con cada gestión de cobro que el acreedor notifique o haga saber al deudor o por el reconocimiento expreso o tácito de éste respecto de la existencia del crédito”</w:t>
      </w:r>
      <w:r>
        <w:rPr>
          <w:rFonts w:ascii="Arial" w:hAnsi="Arial"/>
          <w:b w:val="0"/>
          <w:i w:val="0"/>
          <w:sz w:val="28"/>
        </w:rPr>
        <w:t xml:space="preserve">, y que </w:t>
      </w:r>
      <w:r>
        <w:rPr>
          <w:rFonts w:ascii="Arial" w:hAnsi="Arial"/>
          <w:b w:val="0"/>
          <w:i/>
          <w:sz w:val="28"/>
        </w:rPr>
        <w:t>“Se considera gestión de cobro cualquier actuación de la autoridad dentro del procedimiento administrativo de ejecución, siempre que se haga del conocimiento del deudor”</w:t>
      </w:r>
      <w:r>
        <w:rPr>
          <w:rFonts w:ascii="Arial" w:hAnsi="Arial"/>
          <w:b w:val="0"/>
          <w:i w:val="0"/>
          <w:sz w:val="28"/>
        </w:rPr>
        <w:t>.</w:t>
      </w:r>
    </w:p>
    <w:p>
      <w:pPr>
        <w:spacing w:line="360" w:lineRule="auto"/>
        <w:jc w:val="both"/>
      </w:pPr>
      <w:r>
        <w:rPr>
          <w:rFonts w:ascii="Arial" w:hAnsi="Arial"/>
          <w:b w:val="0"/>
          <w:i w:val="0"/>
          <w:sz w:val="28"/>
        </w:rPr>
        <w:t>El legislador condicionó así el efecto interruptor a que el deudor se entere del acto, y en ese punto cobra relevancia la notificación, que el mismo Diccionario concibe como el instrumento de comunicación procesal que, con las formas que cada legislación establece, hace saber a las partes o a terceros una determinación judicial o administrativa.</w:t>
      </w:r>
      <w:r>
        <w:rPr>
          <w:rFonts w:ascii="Arial" w:hAnsi="Arial"/>
          <w:vertAlign w:val="superscript"/>
        </w:rPr>
        <w:t>2</w:t>
      </w:r>
      <w:r>
        <w:rPr>
          <w:rFonts w:ascii="Arial" w:hAnsi="Arial"/>
          <w:b w:val="0"/>
          <w:i w:val="0"/>
          <w:sz w:val="28"/>
        </w:rPr>
        <w:t xml:space="preserve"> En consecuencia, la actuación de cobro que no llegó a la persona deudora por el cauce y con las solemnidades que la ley señala carece, para efectos del numeral 146, de aptitud para interrumpir el término.</w:t>
      </w:r>
    </w:p>
    <w:p>
      <w:pPr>
        <w:spacing w:line="360" w:lineRule="auto"/>
        <w:jc w:val="both"/>
      </w:pPr>
      <w:r>
        <w:rPr>
          <w:rFonts w:ascii="Arial" w:hAnsi="Arial"/>
          <w:b w:val="0"/>
          <w:i w:val="0"/>
          <w:sz w:val="28"/>
        </w:rPr>
        <w:t>En cuanto a su naturaleza, la Sala Regional consideró que el artículo 146 es una norma sustantiva, porque regula una situación de hecho y le asigna consecuencias que extinguen un derecho y liberan la obligación correlativa, de modo que la prescripción debe analizarse con el texto vigente cuando el crédito se tornó exigible, conclusión que armoniza con la prohibición de dar efecto retroactivo a la ley en perjuicio de persona alguna, prevista en el primer párrafo del numeral 14 constitucional.</w:t>
      </w:r>
    </w:p>
    <w:p>
      <w:pPr>
        <w:spacing w:line="360" w:lineRule="auto"/>
        <w:jc w:val="both"/>
      </w:pPr>
      <w:r>
        <w:rPr>
          <w:rFonts w:ascii="Arial" w:hAnsi="Arial"/>
          <w:b w:val="0"/>
          <w:i w:val="0"/>
          <w:sz w:val="28"/>
        </w:rPr>
        <w:t xml:space="preserve">En esta materia, el artículo 134, fracción III, del Código Fiscal de la Federación fija la regla general, conforme a la cual los actos administrativos se notificarán por estrados </w:t>
      </w:r>
      <w:r>
        <w:rPr>
          <w:rFonts w:ascii="Arial" w:hAnsi="Arial"/>
          <w:b w:val="0"/>
          <w:i/>
          <w:sz w:val="28"/>
        </w:rPr>
        <w:t>“cuando la persona a quien deba notificarse no sea localizable en el domicilio que haya señalado para efectos del registro federal de contribuyentes, se ignore su domicilio o el de su representante, desaparezca, se oponga a la diligencia de notificación o se coloque en el supuesto previsto en la fracción V del artículo 110 de este Código”</w:t>
      </w:r>
      <w:r>
        <w:rPr>
          <w:rFonts w:ascii="Arial" w:hAnsi="Arial"/>
          <w:b w:val="0"/>
          <w:i w:val="0"/>
          <w:sz w:val="28"/>
        </w:rPr>
        <w:t>.</w:t>
      </w:r>
    </w:p>
    <w:p>
      <w:pPr>
        <w:spacing w:line="360" w:lineRule="auto"/>
        <w:jc w:val="both"/>
      </w:pPr>
      <w:r>
        <w:rPr>
          <w:rFonts w:ascii="Arial" w:hAnsi="Arial"/>
          <w:b w:val="0"/>
          <w:i w:val="0"/>
          <w:sz w:val="28"/>
        </w:rPr>
        <w:t xml:space="preserve">Por su parte, el tercer párrafo del artículo 137 del mismo código, en el texto vigente en 2019 </w:t>
      </w:r>
      <w:r>
        <w:rPr>
          <w:rFonts w:ascii="Arial" w:hAnsi="Arial"/>
          <w:b/>
          <w:i w:val="0"/>
          <w:sz w:val="28"/>
        </w:rPr>
        <w:t>[VERIFICAR TEXTO VIGENTE EN CADA DILIGENCIA]</w:t>
      </w:r>
      <w:r>
        <w:rPr>
          <w:rFonts w:ascii="Arial" w:hAnsi="Arial"/>
          <w:b w:val="0"/>
          <w:i w:val="0"/>
          <w:sz w:val="28"/>
        </w:rPr>
        <w:t xml:space="preserve">, regula de manera específica el supuesto en que </w:t>
      </w:r>
      <w:r>
        <w:rPr>
          <w:rFonts w:ascii="Arial" w:hAnsi="Arial"/>
          <w:b w:val="0"/>
          <w:i/>
          <w:sz w:val="28"/>
        </w:rPr>
        <w:t>“el requerimiento de pago a que hace referencia el artículo 151 de este Código, no pueda realizarse personalmente”</w:t>
      </w:r>
      <w:r>
        <w:rPr>
          <w:rFonts w:ascii="Arial" w:hAnsi="Arial"/>
          <w:b w:val="0"/>
          <w:i w:val="0"/>
          <w:sz w:val="28"/>
        </w:rPr>
        <w:t xml:space="preserve">, entre otras hipótesis porque la persona no sea localizada en su domicilio fiscal, se ignore éste o desaparezca, y ordena que en tales casos </w:t>
      </w:r>
      <w:r>
        <w:rPr>
          <w:rFonts w:ascii="Arial" w:hAnsi="Arial"/>
          <w:b w:val="0"/>
          <w:i/>
          <w:sz w:val="28"/>
        </w:rPr>
        <w:t>“la notificación del requerimiento de pago y la diligencia de embargo se realizarán a través del buzón tributario”</w:t>
      </w:r>
      <w:r>
        <w:rPr>
          <w:rFonts w:ascii="Arial" w:hAnsi="Arial"/>
          <w:b w:val="0"/>
          <w:i w:val="0"/>
          <w:sz w:val="28"/>
        </w:rPr>
        <w:t>.</w:t>
      </w:r>
    </w:p>
    <w:p>
      <w:pPr>
        <w:spacing w:line="360" w:lineRule="auto"/>
        <w:jc w:val="both"/>
      </w:pPr>
      <w:r>
        <w:rPr>
          <w:rFonts w:ascii="Arial" w:hAnsi="Arial"/>
          <w:b w:val="0"/>
          <w:i w:val="0"/>
          <w:sz w:val="28"/>
        </w:rPr>
        <w:t>Ambas disposiciones contemplan la misma hipótesis fáctica, la falta de localización de la persona, pero le asignan consecuencias distintas, y la antinomia aparente se resuelve con el criterio de especialidad, que Guastini explica como una técnica aplicable entre normas de igual rango que guardan entre sí una relación de regla y excepción, en la que, por definición, la segunda derrota a la primera.</w:t>
      </w:r>
      <w:r>
        <w:rPr>
          <w:rFonts w:ascii="Arial" w:hAnsi="Arial"/>
          <w:vertAlign w:val="superscript"/>
        </w:rPr>
        <w:t>3</w:t>
      </w:r>
    </w:p>
    <w:p>
      <w:pPr>
        <w:spacing w:line="360" w:lineRule="auto"/>
        <w:jc w:val="both"/>
      </w:pPr>
      <w:r>
        <w:rPr>
          <w:rFonts w:ascii="Arial" w:hAnsi="Arial"/>
          <w:b w:val="0"/>
          <w:i w:val="0"/>
          <w:sz w:val="28"/>
        </w:rPr>
        <w:t xml:space="preserve">Aplicado ese criterio, el requerimiento de pago y el embargo que no pueden practicarse personalmente por no localización deben comunicarse por buzón tributario, y así lo entendió la Sala Regional al sostener que, </w:t>
      </w:r>
      <w:r>
        <w:rPr>
          <w:rFonts w:ascii="Arial" w:hAnsi="Arial"/>
          <w:b w:val="0"/>
          <w:i/>
          <w:sz w:val="28"/>
        </w:rPr>
        <w:t>“al tratarse de un supuesto especial, debe atenderse a lo dispuesto por el artículo 137, tercer párrafo”</w:t>
      </w:r>
      <w:r>
        <w:rPr>
          <w:rFonts w:ascii="Arial" w:hAnsi="Arial"/>
          <w:b w:val="0"/>
          <w:i w:val="0"/>
          <w:sz w:val="28"/>
        </w:rPr>
        <w:t xml:space="preserve">, de suerte que la autoridad que tuvo por no localizable al contribuyente </w:t>
      </w:r>
      <w:r>
        <w:rPr>
          <w:rFonts w:ascii="Arial" w:hAnsi="Arial"/>
          <w:b w:val="0"/>
          <w:i/>
          <w:sz w:val="28"/>
        </w:rPr>
        <w:t>“invariablemente debía proceder a notificar la acción de cobro, en este caso, a través del Buzón Tributario”</w:t>
      </w:r>
      <w:r>
        <w:rPr>
          <w:rFonts w:ascii="Arial" w:hAnsi="Arial"/>
          <w:b w:val="0"/>
          <w:i w:val="0"/>
          <w:sz w:val="28"/>
        </w:rPr>
        <w:t>.</w:t>
      </w:r>
    </w:p>
    <w:p>
      <w:pPr>
        <w:spacing w:line="360" w:lineRule="auto"/>
        <w:jc w:val="both"/>
      </w:pPr>
      <w:r>
        <w:rPr>
          <w:rFonts w:ascii="Arial" w:hAnsi="Arial"/>
          <w:b w:val="0"/>
          <w:i w:val="0"/>
          <w:sz w:val="28"/>
        </w:rPr>
        <w:t xml:space="preserve">La misma Sala precisó que el levantamiento de actas circunstanciadas en las que conste que el contribuyente desocupó su domicilio o no fue localizado </w:t>
      </w:r>
      <w:r>
        <w:rPr>
          <w:rFonts w:ascii="Arial" w:hAnsi="Arial"/>
          <w:b w:val="0"/>
          <w:i/>
          <w:sz w:val="28"/>
        </w:rPr>
        <w:t>“de ninguna manera constituye excusa para la autoridad de notificarle por los medios analizados, los actos de cobro”</w:t>
      </w:r>
      <w:r>
        <w:rPr>
          <w:rFonts w:ascii="Arial" w:hAnsi="Arial"/>
          <w:b w:val="0"/>
          <w:i w:val="0"/>
          <w:sz w:val="28"/>
        </w:rPr>
        <w:t>, de manera que el acta de un intento fallido documenta la imposibilidad de la diligencia personal, pero no suple la comunicación que la ley exige para que la gestión llegue a conocimiento del deudor.</w:t>
      </w:r>
    </w:p>
    <w:p>
      <w:pPr>
        <w:spacing w:line="360" w:lineRule="auto"/>
        <w:jc w:val="both"/>
      </w:pPr>
      <w:r>
        <w:rPr>
          <w:rFonts w:ascii="Arial" w:hAnsi="Arial"/>
          <w:b w:val="0"/>
          <w:i w:val="0"/>
          <w:sz w:val="28"/>
        </w:rPr>
        <w:t xml:space="preserve">Aun bajo la regla general del artículo 134, fracción III, los estrados son una vía de excepción que sólo se justifica cuando el acta acredita la hipótesis que la autoriza, y por ello la Sala Regional estimó que, si el notificador no se apersonó en el domicilio correcto por faltarle un dato de identificación del inmueble, </w:t>
      </w:r>
      <w:r>
        <w:rPr>
          <w:rFonts w:ascii="Arial" w:hAnsi="Arial"/>
          <w:b w:val="0"/>
          <w:i/>
          <w:sz w:val="28"/>
        </w:rPr>
        <w:t>“con esos datos no es dable concluir categóricamente que el contribuyente se encontraba como no localizable”</w:t>
      </w:r>
      <w:r>
        <w:rPr>
          <w:rFonts w:ascii="Arial" w:hAnsi="Arial"/>
          <w:b w:val="0"/>
          <w:i w:val="0"/>
          <w:sz w:val="28"/>
        </w:rPr>
        <w:t>.</w:t>
      </w:r>
    </w:p>
    <w:p>
      <w:pPr>
        <w:spacing w:line="360" w:lineRule="auto"/>
        <w:jc w:val="both"/>
      </w:pPr>
      <w:r>
        <w:rPr>
          <w:rFonts w:ascii="Arial" w:hAnsi="Arial"/>
          <w:b w:val="0"/>
          <w:i w:val="0"/>
          <w:sz w:val="28"/>
        </w:rPr>
        <w:t xml:space="preserve">La carga de demostrar la notificación de cada gestión corresponde a la autoridad, porque el artículo 42 de la Ley Federal de Procedimiento Contencioso Administrativo dispone que </w:t>
      </w:r>
      <w:r>
        <w:rPr>
          <w:rFonts w:ascii="Arial" w:hAnsi="Arial"/>
          <w:b w:val="0"/>
          <w:i/>
          <w:sz w:val="28"/>
        </w:rPr>
        <w:t>“Las resoluciones y actos administrativos se presumirán legales. Sin embargo, las autoridades deberán probar los hechos que los motiven cuando la persona afectada los niegue lisa y llanamente, a menos que la negativa implique la afirmación de otro hecho”</w:t>
      </w:r>
      <w:r>
        <w:rPr>
          <w:rFonts w:ascii="Arial" w:hAnsi="Arial"/>
          <w:b w:val="0"/>
          <w:i w:val="0"/>
          <w:sz w:val="28"/>
        </w:rPr>
        <w:t>, supuesto que no se presenta cuando el particular se limita a desconocer que se le haya dado noticia de los actos de cobranza.</w:t>
      </w:r>
    </w:p>
    <w:p>
      <w:pPr>
        <w:spacing w:line="360" w:lineRule="auto"/>
        <w:jc w:val="both"/>
      </w:pPr>
      <w:r>
        <w:rPr>
          <w:rFonts w:ascii="Arial" w:hAnsi="Arial"/>
          <w:b w:val="0"/>
          <w:i w:val="0"/>
          <w:sz w:val="28"/>
        </w:rPr>
        <w:t xml:space="preserve">Respecto del reconocimiento expreso o tácito del deudor, éste interrumpe el plazo sólo mientras corre, ya que, consumado el término, el crédito se extingue y no queda nada que interrumpir, razón por la cual la Sala Regional sostuvo que, a la fecha de la solicitud de declaratoria, </w:t>
      </w:r>
      <w:r>
        <w:rPr>
          <w:rFonts w:ascii="Arial" w:hAnsi="Arial"/>
          <w:b w:val="0"/>
          <w:i/>
          <w:sz w:val="28"/>
        </w:rPr>
        <w:t>“el crédito fiscal ya se encontraba prescrito”</w:t>
      </w:r>
      <w:r>
        <w:rPr>
          <w:rFonts w:ascii="Arial" w:hAnsi="Arial"/>
          <w:b w:val="0"/>
          <w:i w:val="0"/>
          <w:sz w:val="28"/>
        </w:rPr>
        <w:t>, aun cuando la autoridad atribuyera a ese escrito la calidad de aceptación expresa del adeudo.</w:t>
      </w:r>
    </w:p>
    <w:p>
      <w:pPr>
        <w:spacing w:line="360" w:lineRule="auto"/>
        <w:jc w:val="both"/>
      </w:pPr>
      <w:r>
        <w:rPr>
          <w:rFonts w:ascii="Arial" w:hAnsi="Arial"/>
          <w:b/>
          <w:sz w:val="28"/>
        </w:rPr>
        <w:t>IV. Aplicación al caso concreto y refutación de la motivación de la autoridad.</w:t>
      </w:r>
    </w:p>
    <w:p>
      <w:pPr>
        <w:spacing w:line="360" w:lineRule="auto"/>
        <w:jc w:val="both"/>
      </w:pPr>
      <w:r>
        <w:rPr>
          <w:rFonts w:ascii="Arial" w:hAnsi="Arial"/>
          <w:b w:val="0"/>
          <w:i w:val="0"/>
          <w:sz w:val="28"/>
        </w:rPr>
        <w:t xml:space="preserve">Los hechos del caso encuadran en la premisa expuesta, pues el crédito determinado en el oficio </w:t>
      </w:r>
      <w:r>
        <w:rPr>
          <w:rFonts w:ascii="Arial" w:hAnsi="Arial"/>
          <w:b/>
          <w:i w:val="0"/>
          <w:sz w:val="28"/>
        </w:rPr>
        <w:t>[NÚMERO Y FECHA DEL OFICIO DETERMINANTE DEL CRÉDITO]</w:t>
      </w:r>
      <w:r>
        <w:rPr>
          <w:rFonts w:ascii="Arial" w:hAnsi="Arial"/>
          <w:b w:val="0"/>
          <w:i w:val="0"/>
          <w:sz w:val="28"/>
        </w:rPr>
        <w:t xml:space="preserve"> se hizo exigible el </w:t>
      </w:r>
      <w:r>
        <w:rPr>
          <w:rFonts w:ascii="Arial" w:hAnsi="Arial"/>
          <w:b/>
          <w:i w:val="0"/>
          <w:sz w:val="28"/>
        </w:rPr>
        <w:t>[FECHA DE EXIGIBILIDAD DEL CRÉDITO]</w:t>
      </w:r>
      <w:r>
        <w:rPr>
          <w:rFonts w:ascii="Arial" w:hAnsi="Arial"/>
          <w:b w:val="0"/>
          <w:i w:val="0"/>
          <w:sz w:val="28"/>
        </w:rPr>
        <w:t xml:space="preserve">, y para sostener que no ha prescrito la autoridad invoca el mandamiento de ejecución </w:t>
      </w:r>
      <w:r>
        <w:rPr>
          <w:rFonts w:ascii="Arial" w:hAnsi="Arial"/>
          <w:b/>
          <w:i w:val="0"/>
          <w:sz w:val="28"/>
        </w:rPr>
        <w:t>[NÚMERO Y FECHA DEL MANDAMIENTO DE EJECUCIÓN]</w:t>
      </w:r>
      <w:r>
        <w:rPr>
          <w:rFonts w:ascii="Arial" w:hAnsi="Arial"/>
          <w:b w:val="0"/>
          <w:i w:val="0"/>
          <w:sz w:val="28"/>
        </w:rPr>
        <w:t xml:space="preserve">, cuya diligencia personal se intentó el </w:t>
      </w:r>
      <w:r>
        <w:rPr>
          <w:rFonts w:ascii="Arial" w:hAnsi="Arial"/>
          <w:b/>
          <w:i w:val="0"/>
          <w:sz w:val="28"/>
        </w:rPr>
        <w:t>[FECHA DEL ACTA CIRCUNSTANCIADA]</w:t>
      </w:r>
      <w:r>
        <w:rPr>
          <w:rFonts w:ascii="Arial" w:hAnsi="Arial"/>
          <w:b w:val="0"/>
          <w:i w:val="0"/>
          <w:sz w:val="28"/>
        </w:rPr>
        <w:t xml:space="preserve"> y que, ante la supuesta falta de localización, se fijó en estrados el </w:t>
      </w:r>
      <w:r>
        <w:rPr>
          <w:rFonts w:ascii="Arial" w:hAnsi="Arial"/>
          <w:b/>
          <w:i w:val="0"/>
          <w:sz w:val="28"/>
        </w:rPr>
        <w:t>[FECHA DE LA NOTIFICACIÓN POR ESTRADOS]</w:t>
      </w:r>
      <w:r>
        <w:rPr>
          <w:rFonts w:ascii="Arial" w:hAnsi="Arial"/>
          <w:b w:val="0"/>
          <w:i w:val="0"/>
          <w:sz w:val="28"/>
        </w:rPr>
        <w:t>.</w:t>
      </w:r>
    </w:p>
    <w:p>
      <w:pPr>
        <w:spacing w:line="360" w:lineRule="auto"/>
        <w:jc w:val="both"/>
      </w:pPr>
      <w:r>
        <w:rPr>
          <w:rFonts w:ascii="Arial" w:hAnsi="Arial"/>
          <w:b w:val="0"/>
          <w:i w:val="0"/>
          <w:sz w:val="28"/>
        </w:rPr>
        <w:t>La parte actora niega lisa y llanamente que se le haya notificado ese mandamiento, o cualquier otra actuación del procedimiento administrativo de ejecución, por buzón tributario, en forma personal o por algún otro medio, de modo que corresponde a la enjuiciada demostrar la comunicación de cada gestión por la vía que la ley señala, en términos del citado numeral 42.</w:t>
      </w:r>
    </w:p>
    <w:p>
      <w:pPr>
        <w:spacing w:line="360" w:lineRule="auto"/>
        <w:jc w:val="both"/>
      </w:pPr>
      <w:r>
        <w:rPr>
          <w:rFonts w:ascii="Arial" w:hAnsi="Arial"/>
          <w:b w:val="0"/>
          <w:i w:val="0"/>
          <w:sz w:val="28"/>
        </w:rPr>
        <w:t>El primer vicio atañe a la vía, porque el mandamiento contenía el requerimiento de pago a que alude el artículo 151 del Código Fiscal de la Federación y la autoridad sustentó la imposibilidad de practicarlo personalmente en la falta de localización, hipótesis en la que el párrafo tercero del numeral 137 de ese ordenamiento ordenaba comunicar esa actuación y el embargo por buzón tributario. La fijación en estrados se hizo, por tanto, por un cauce que la ley no autorizaba y no puso la gestión de cobro en conocimiento de la persona deudora.</w:t>
      </w:r>
    </w:p>
    <w:p>
      <w:pPr>
        <w:spacing w:line="360" w:lineRule="auto"/>
        <w:jc w:val="both"/>
      </w:pPr>
      <w:r>
        <w:rPr>
          <w:rFonts w:ascii="Arial" w:hAnsi="Arial"/>
          <w:b w:val="0"/>
          <w:i w:val="0"/>
          <w:sz w:val="28"/>
        </w:rPr>
        <w:t xml:space="preserve">El segundo vicio subsiste aun si se aplicara la regla general de los estrados, porque el acta de </w:t>
      </w:r>
      <w:r>
        <w:rPr>
          <w:rFonts w:ascii="Arial" w:hAnsi="Arial"/>
          <w:b/>
          <w:i w:val="0"/>
          <w:sz w:val="28"/>
        </w:rPr>
        <w:t>[FECHA DEL ACTA CIRCUNSTANCIADA]</w:t>
      </w:r>
      <w:r>
        <w:rPr>
          <w:rFonts w:ascii="Arial" w:hAnsi="Arial"/>
          <w:b w:val="0"/>
          <w:i w:val="0"/>
          <w:sz w:val="28"/>
        </w:rPr>
        <w:t xml:space="preserve"> no acredita de forma categórica que la persona fuera ilocalizable, ya que </w:t>
      </w:r>
      <w:r>
        <w:rPr>
          <w:rFonts w:ascii="Arial" w:hAnsi="Arial"/>
          <w:b/>
          <w:i w:val="0"/>
          <w:sz w:val="28"/>
        </w:rPr>
        <w:t>[DEFECTO CONCRETO DEL ACTA CIRCUNSTANCIADA]</w:t>
      </w:r>
      <w:r>
        <w:rPr>
          <w:rFonts w:ascii="Arial" w:hAnsi="Arial"/>
          <w:b w:val="0"/>
          <w:i w:val="0"/>
          <w:sz w:val="28"/>
        </w:rPr>
        <w:t>, circunstancia que impide tener por demostrado el supuesto excepcional que autoriza esa vía.</w:t>
      </w:r>
    </w:p>
    <w:p>
      <w:pPr>
        <w:spacing w:line="360" w:lineRule="auto"/>
        <w:jc w:val="both"/>
      </w:pPr>
      <w:r>
        <w:rPr>
          <w:rFonts w:ascii="Arial" w:hAnsi="Arial"/>
          <w:b w:val="0"/>
          <w:i w:val="0"/>
          <w:sz w:val="28"/>
        </w:rPr>
        <w:t xml:space="preserve">Desestimadas esas gestiones, y sin que la autoridad acredite otro supuesto de interrupción o de suspensión, el plazo de cinco años corrió íntegro a partir del </w:t>
      </w:r>
      <w:r>
        <w:rPr>
          <w:rFonts w:ascii="Arial" w:hAnsi="Arial"/>
          <w:b/>
          <w:i w:val="0"/>
          <w:sz w:val="28"/>
        </w:rPr>
        <w:t>[FECHA DE EXIGIBILIDAD DEL CRÉDITO]</w:t>
      </w:r>
      <w:r>
        <w:rPr>
          <w:rFonts w:ascii="Arial" w:hAnsi="Arial"/>
          <w:b w:val="0"/>
          <w:i w:val="0"/>
          <w:sz w:val="28"/>
        </w:rPr>
        <w:t xml:space="preserve"> y se consumó el </w:t>
      </w:r>
      <w:r>
        <w:rPr>
          <w:rFonts w:ascii="Arial" w:hAnsi="Arial"/>
          <w:b/>
          <w:i w:val="0"/>
          <w:sz w:val="28"/>
        </w:rPr>
        <w:t>[FECHA EN QUE SE CONSUMÓ LA PRESCRIPCIÓN]</w:t>
      </w:r>
      <w:r>
        <w:rPr>
          <w:rFonts w:ascii="Arial" w:hAnsi="Arial"/>
          <w:b w:val="0"/>
          <w:i w:val="0"/>
          <w:sz w:val="28"/>
        </w:rPr>
        <w:t xml:space="preserve">, e incluso si se admitiera la validez de la gestión más antigua, el término reiniciado se habría agotado el </w:t>
      </w:r>
      <w:r>
        <w:rPr>
          <w:rFonts w:ascii="Arial" w:hAnsi="Arial"/>
          <w:b/>
          <w:i w:val="0"/>
          <w:sz w:val="28"/>
        </w:rPr>
        <w:t>[FECHA DE CONSUMACIÓN COMPUTADA DESDE LA GESTIÓN MÁS ANTIGUA]</w:t>
      </w:r>
      <w:r>
        <w:rPr>
          <w:rFonts w:ascii="Arial" w:hAnsi="Arial"/>
          <w:b w:val="0"/>
          <w:i w:val="0"/>
          <w:sz w:val="28"/>
        </w:rPr>
        <w:t xml:space="preserve">, en ambos casos antes del </w:t>
      </w:r>
      <w:r>
        <w:rPr>
          <w:rFonts w:ascii="Arial" w:hAnsi="Arial"/>
          <w:b/>
          <w:i w:val="0"/>
          <w:sz w:val="28"/>
        </w:rPr>
        <w:t>[FECHA DE LA SOLICITUD DE PRESCRIPCIÓN]</w:t>
      </w:r>
      <w:r>
        <w:rPr>
          <w:rFonts w:ascii="Arial" w:hAnsi="Arial"/>
          <w:b w:val="0"/>
          <w:i w:val="0"/>
          <w:sz w:val="28"/>
        </w:rPr>
        <w:t>, día en que se pidió la declaratoria.</w:t>
      </w:r>
    </w:p>
    <w:p>
      <w:pPr>
        <w:spacing w:line="360" w:lineRule="auto"/>
        <w:jc w:val="both"/>
      </w:pPr>
      <w:r>
        <w:rPr>
          <w:rFonts w:ascii="Arial" w:hAnsi="Arial"/>
          <w:b w:val="0"/>
          <w:i w:val="0"/>
          <w:sz w:val="28"/>
        </w:rPr>
        <w:t>La motivación que tiene por interrumpido el plazo con actuaciones fijadas en estrados incurre en la falacia del secundum quid, que García Damborenea describe como la aplicación rígida de una regla como si no existieran excepciones, olvidando que en un caso particular puede darse una circunstancia especial que la vuelva inaplicable.</w:t>
      </w:r>
      <w:r>
        <w:rPr>
          <w:rFonts w:ascii="Arial" w:hAnsi="Arial"/>
          <w:vertAlign w:val="superscript"/>
        </w:rPr>
        <w:t>4</w:t>
      </w:r>
      <w:r>
        <w:rPr>
          <w:rFonts w:ascii="Arial" w:hAnsi="Arial"/>
          <w:b w:val="0"/>
          <w:i w:val="0"/>
          <w:sz w:val="28"/>
        </w:rPr>
        <w:t xml:space="preserve"> La demandada tomó como absoluta la norma genérica del artículo 134 y pasó por alto que el acto comunicado era un requerimiento de pago con cauce propio, cuando lo correcto era identificar primero la naturaleza de la actuación y después la vía de notificación que le corresponde.</w:t>
      </w:r>
    </w:p>
    <w:p>
      <w:pPr>
        <w:spacing w:line="360" w:lineRule="auto"/>
        <w:jc w:val="both"/>
      </w:pPr>
      <w:r>
        <w:rPr>
          <w:rFonts w:ascii="Arial" w:hAnsi="Arial"/>
          <w:b w:val="0"/>
          <w:i w:val="0"/>
          <w:sz w:val="28"/>
        </w:rPr>
        <w:t>Tener por no localizable a la deudora con base en lo que dijeron uno o dos vecinos, o en una búsqueda hecha con datos incompletos del domicilio, constituye una generalización precipitada, sofisma que, según García Damborenea, surge al extraer una regla de casos insuficientes o poco representativos, presentando las premisas como si dieran a la conclusión un fundamento seguro.</w:t>
      </w:r>
      <w:r>
        <w:rPr>
          <w:rFonts w:ascii="Arial" w:hAnsi="Arial"/>
          <w:vertAlign w:val="superscript"/>
        </w:rPr>
        <w:t>5</w:t>
      </w:r>
      <w:r>
        <w:rPr>
          <w:rFonts w:ascii="Arial" w:hAnsi="Arial"/>
          <w:b w:val="0"/>
          <w:i w:val="0"/>
          <w:sz w:val="28"/>
        </w:rPr>
        <w:t xml:space="preserve"> La ignorancia de quienes atendieron al notificador, en un inmueble que ni siquiera se identificó con precisión, es un indicio aislado e insuficiente para acreditar la hipótesis excepcional de la fracción III.</w:t>
      </w:r>
    </w:p>
    <w:p>
      <w:pPr>
        <w:spacing w:line="360" w:lineRule="auto"/>
        <w:jc w:val="both"/>
      </w:pPr>
      <w:r>
        <w:rPr>
          <w:rFonts w:ascii="Arial" w:hAnsi="Arial"/>
          <w:b w:val="0"/>
          <w:i w:val="0"/>
          <w:sz w:val="28"/>
        </w:rPr>
        <w:t>La pretensión de que la propia solicitud de prescripción interrumpió el plazo, por contener un reconocimiento expreso del adeudo, es un non sequitur, categoría que García Damborenea reserva para los argumentos cuya conclusión no se sigue de las premisas.</w:t>
      </w:r>
      <w:r>
        <w:rPr>
          <w:rFonts w:ascii="Arial" w:hAnsi="Arial"/>
          <w:vertAlign w:val="superscript"/>
        </w:rPr>
        <w:t>6</w:t>
      </w:r>
      <w:r>
        <w:rPr>
          <w:rFonts w:ascii="Arial" w:hAnsi="Arial"/>
          <w:b w:val="0"/>
          <w:i w:val="0"/>
          <w:sz w:val="28"/>
        </w:rPr>
        <w:t xml:space="preserve"> Que el escrito mencione el crédito no lleva a concluir que el término seguía vivo, porque la interrupción presupone un lapso en curso y, para la fecha de esa petición, la extinción ya se había producido, de suerte que la postura de la autoridad invierte el orden del razonamiento y da por sentado lo que debía demostrar.</w:t>
      </w:r>
    </w:p>
    <w:p>
      <w:pPr>
        <w:spacing w:line="360" w:lineRule="auto"/>
        <w:jc w:val="both"/>
      </w:pPr>
      <w:r>
        <w:rPr>
          <w:rFonts w:ascii="Arial" w:hAnsi="Arial"/>
          <w:b w:val="0"/>
          <w:i w:val="0"/>
          <w:sz w:val="28"/>
        </w:rPr>
        <w:t>Si la enjuiciada sostiene, además, que el plazo estuvo suspendido porque la persona deudora desocupó su domicilio fiscal sin presentar aviso, esa hipótesis del artículo 146 constituye un hecho que debe motivarse en la resolución y probarse en el juicio frente a la negativa de la parte actora, y no queda demostrada con la sola acta de una diligencia fallida si de ella no se desprende, de manera categórica, que se abandonó el domicilio registrado.</w:t>
      </w:r>
    </w:p>
    <w:p>
      <w:pPr>
        <w:spacing w:line="360" w:lineRule="auto"/>
        <w:jc w:val="both"/>
      </w:pPr>
      <w:r>
        <w:rPr>
          <w:rFonts w:ascii="Arial" w:hAnsi="Arial"/>
          <w:b w:val="0"/>
          <w:i w:val="0"/>
          <w:sz w:val="28"/>
        </w:rPr>
        <w:t>Admitir el criterio de la demandada permitiría prolongar sin límite la vida de los créditos mediante actuaciones que la persona deudora nunca conoce, con lo que el plazo extintivo dejaría de ser una carga para el acreedor y quedaría a su disposición, resultado incompatible con la seguridad jurídica que tutelan los artículos 14 y 16 constitucionales.</w:t>
      </w:r>
    </w:p>
    <w:p>
      <w:pPr>
        <w:spacing w:line="360" w:lineRule="auto"/>
        <w:jc w:val="both"/>
      </w:pPr>
      <w:r>
        <w:rPr>
          <w:rFonts w:ascii="Arial" w:hAnsi="Arial"/>
          <w:b/>
          <w:sz w:val="28"/>
        </w:rPr>
        <w:t>V. Conclusión y petición parcial.</w:t>
      </w:r>
    </w:p>
    <w:p>
      <w:pPr>
        <w:spacing w:line="360" w:lineRule="auto"/>
        <w:jc w:val="both"/>
      </w:pPr>
      <w:r>
        <w:rPr>
          <w:rFonts w:ascii="Arial" w:hAnsi="Arial"/>
          <w:b w:val="0"/>
          <w:i w:val="0"/>
          <w:sz w:val="28"/>
        </w:rPr>
        <w:t xml:space="preserve">En suma, el crédito se hizo exigible el </w:t>
      </w:r>
      <w:r>
        <w:rPr>
          <w:rFonts w:ascii="Arial" w:hAnsi="Arial"/>
          <w:b/>
          <w:i w:val="0"/>
          <w:sz w:val="28"/>
        </w:rPr>
        <w:t>[FECHA DE EXIGIBILIDAD DEL CRÉDITO]</w:t>
      </w:r>
      <w:r>
        <w:rPr>
          <w:rFonts w:ascii="Arial" w:hAnsi="Arial"/>
          <w:b w:val="0"/>
          <w:i w:val="0"/>
          <w:sz w:val="28"/>
        </w:rPr>
        <w:t>, ninguna gestión de cobro se notificó a la persona deudora por la vía que la ley exigía, el acta que sustentó los estrados no acredita la hipótesis excepcional y el reconocimiento atribuido a la solicitud llegó cuando el término ya se había consumado, por lo que la resolución impugnada se dictó en contravención del artículo 146 del Código Fiscal de la Federación.</w:t>
      </w:r>
    </w:p>
    <w:p>
      <w:pPr>
        <w:spacing w:line="360" w:lineRule="auto"/>
        <w:jc w:val="both"/>
      </w:pPr>
      <w:r>
        <w:rPr>
          <w:rFonts w:ascii="Arial" w:hAnsi="Arial"/>
          <w:b w:val="0"/>
          <w:i w:val="0"/>
          <w:sz w:val="28"/>
        </w:rPr>
        <w:t xml:space="preserve">Por lo expuesto, procede declarar fundado este concepto de impugnación y decretar la nulidad lisa y llana de </w:t>
      </w:r>
      <w:r>
        <w:rPr>
          <w:rFonts w:ascii="Arial" w:hAnsi="Arial"/>
          <w:b/>
          <w:i w:val="0"/>
          <w:sz w:val="28"/>
        </w:rPr>
        <w:t>[IDENTIFICACIÓN DE LA RESOLUCIÓN IMPUGNADA]</w:t>
      </w:r>
      <w:r>
        <w:rPr>
          <w:rFonts w:ascii="Arial" w:hAnsi="Arial"/>
          <w:b w:val="0"/>
          <w:i w:val="0"/>
          <w:sz w:val="28"/>
        </w:rPr>
        <w:t>, con fundamento en los artículos 51, fracción IV, y 52, fracción II, de la Ley Federal de Procedimiento Contencioso Administrativo, con el estudio preferente que ordena el segundo párrafo del numeral 50 de ese ordenamiento.</w:t>
      </w:r>
    </w:p>
    <w:p>
      <w:pPr>
        <w:spacing w:line="360" w:lineRule="auto"/>
        <w:jc w:val="both"/>
      </w:pPr>
      <w:r>
        <w:rPr>
          <w:rFonts w:ascii="Arial" w:hAnsi="Arial"/>
          <w:b w:val="0"/>
          <w:i w:val="0"/>
          <w:sz w:val="28"/>
        </w:rPr>
        <w:t xml:space="preserve">En atención a la pretensión deducida, que el primer párrafo del propio precepto 50 obliga a resolver, se solicita además que la sentencia reconozca que el crédito determinado en el oficio </w:t>
      </w:r>
      <w:r>
        <w:rPr>
          <w:rFonts w:ascii="Arial" w:hAnsi="Arial"/>
          <w:b/>
          <w:i w:val="0"/>
          <w:sz w:val="28"/>
        </w:rPr>
        <w:t>[NÚMERO Y FECHA DEL OFICIO DETERMINANTE DEL CRÉDITO]</w:t>
      </w:r>
      <w:r>
        <w:rPr>
          <w:rFonts w:ascii="Arial" w:hAnsi="Arial"/>
          <w:b w:val="0"/>
          <w:i w:val="0"/>
          <w:sz w:val="28"/>
        </w:rPr>
        <w:t xml:space="preserve"> se encuentra prescrito desde el </w:t>
      </w:r>
      <w:r>
        <w:rPr>
          <w:rFonts w:ascii="Arial" w:hAnsi="Arial"/>
          <w:b/>
          <w:i w:val="0"/>
          <w:sz w:val="28"/>
        </w:rPr>
        <w:t>[FECHA EN QUE SE CONSUMÓ LA PRESCRIPCIÓN]</w:t>
      </w:r>
      <w:r>
        <w:rPr>
          <w:rFonts w:ascii="Arial" w:hAnsi="Arial"/>
          <w:b w:val="0"/>
          <w:i w:val="0"/>
          <w:sz w:val="28"/>
        </w:rPr>
        <w:t xml:space="preserve"> y, en su caso, que anule también, de forma lisa y llana, la resolución expresa que la autoridad haya emitido sobre la misma solicitud sin notificarla antes de la presentación de la demanda.</w:t>
      </w:r>
    </w:p>
    <w:p/>
    <w:p>
      <w:r>
        <w:rPr>
          <w:rFonts w:ascii="Arial" w:hAnsi="Arial"/>
          <w:b/>
          <w:sz w:val="22"/>
        </w:rPr>
        <w:t>NOTAS</w:t>
      </w:r>
    </w:p>
    <w:p>
      <w:pPr>
        <w:spacing w:after="60"/>
        <w:ind w:left="360" w:hanging="360"/>
        <w:jc w:val="both"/>
      </w:pPr>
      <w:r>
        <w:rPr>
          <w:rFonts w:ascii="Arial" w:hAnsi="Arial"/>
          <w:sz w:val="20"/>
          <w:vertAlign w:val="superscript"/>
        </w:rPr>
        <w:t>1</w:t>
      </w:r>
      <w:r>
        <w:rPr>
          <w:sz w:val="20"/>
        </w:rPr>
        <w:t xml:space="preserve"> </w:t>
      </w:r>
      <w:r>
        <w:rPr>
          <w:rFonts w:ascii="Arial" w:hAnsi="Arial"/>
          <w:i w:val="0"/>
          <w:sz w:val="20"/>
        </w:rPr>
        <w:t xml:space="preserve">FERRER MAC-GREGOR, Eduardo et al. (coord.), </w:t>
      </w:r>
      <w:r>
        <w:rPr>
          <w:rFonts w:ascii="Arial" w:hAnsi="Arial"/>
          <w:i/>
          <w:sz w:val="20"/>
        </w:rPr>
        <w:t>Diccionario de derecho procesal constitucional y convencional. Tomo II</w:t>
      </w:r>
      <w:r>
        <w:rPr>
          <w:rFonts w:ascii="Arial" w:hAnsi="Arial"/>
          <w:i w:val="0"/>
          <w:sz w:val="20"/>
        </w:rPr>
        <w:t>, 3ª ed., Universidad Nacional Autónoma de México, Instituto de Investigaciones Jurídicas; Instituto de Estudios Constitucionales del Estado de Querétaro, México, 2021, p. 1143.</w:t>
      </w:r>
    </w:p>
    <w:p>
      <w:pPr>
        <w:spacing w:after="60"/>
        <w:ind w:left="360" w:hanging="360"/>
        <w:jc w:val="both"/>
      </w:pPr>
      <w:r>
        <w:rPr>
          <w:rFonts w:ascii="Arial" w:hAnsi="Arial"/>
          <w:sz w:val="20"/>
          <w:vertAlign w:val="superscript"/>
        </w:rPr>
        <w:t>2</w:t>
      </w:r>
      <w:r>
        <w:rPr>
          <w:sz w:val="20"/>
        </w:rPr>
        <w:t xml:space="preserve"> </w:t>
      </w:r>
      <w:r>
        <w:rPr>
          <w:rFonts w:ascii="Arial" w:hAnsi="Arial"/>
          <w:i w:val="0"/>
          <w:sz w:val="20"/>
        </w:rPr>
        <w:t>FERRER MAC-GREGOR, op. cit.</w:t>
      </w:r>
      <w:r>
        <w:rPr>
          <w:rFonts w:ascii="Arial" w:hAnsi="Arial"/>
          <w:i w:val="0"/>
          <w:sz w:val="20"/>
        </w:rPr>
        <w:t>, p. 1560.</w:t>
      </w:r>
    </w:p>
    <w:p>
      <w:pPr>
        <w:spacing w:after="60"/>
        <w:ind w:left="360" w:hanging="360"/>
        <w:jc w:val="both"/>
      </w:pPr>
      <w:r>
        <w:rPr>
          <w:rFonts w:ascii="Arial" w:hAnsi="Arial"/>
          <w:sz w:val="20"/>
          <w:vertAlign w:val="superscript"/>
        </w:rPr>
        <w:t>3</w:t>
      </w:r>
      <w:r>
        <w:rPr>
          <w:sz w:val="20"/>
        </w:rPr>
        <w:t xml:space="preserve"> </w:t>
      </w:r>
      <w:r>
        <w:rPr>
          <w:rFonts w:ascii="Arial" w:hAnsi="Arial"/>
          <w:i w:val="0"/>
          <w:sz w:val="20"/>
        </w:rPr>
        <w:t xml:space="preserve">GUASTINI, Riccardo, </w:t>
      </w:r>
      <w:r>
        <w:rPr>
          <w:rFonts w:ascii="Arial" w:hAnsi="Arial"/>
          <w:i/>
          <w:sz w:val="20"/>
        </w:rPr>
        <w:t>Interpretar y argumentar</w:t>
      </w:r>
      <w:r>
        <w:rPr>
          <w:rFonts w:ascii="Arial" w:hAnsi="Arial"/>
          <w:i w:val="0"/>
          <w:sz w:val="20"/>
        </w:rPr>
        <w:t>, trad. de Silvina Álvarez Medina, Centro de Estudios Políticos y Constitucionales, Madrid, 2014, p. 131.</w:t>
      </w:r>
    </w:p>
    <w:p>
      <w:pPr>
        <w:spacing w:after="60"/>
        <w:ind w:left="360" w:hanging="360"/>
        <w:jc w:val="both"/>
      </w:pPr>
      <w:r>
        <w:rPr>
          <w:rFonts w:ascii="Arial" w:hAnsi="Arial"/>
          <w:sz w:val="20"/>
          <w:vertAlign w:val="superscript"/>
        </w:rPr>
        <w:t>4</w:t>
      </w:r>
      <w:r>
        <w:rPr>
          <w:sz w:val="20"/>
        </w:rPr>
        <w:t xml:space="preserve"> </w:t>
      </w: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 p. 84.</w:t>
      </w:r>
    </w:p>
    <w:p>
      <w:pPr>
        <w:spacing w:after="60"/>
        <w:ind w:left="360" w:hanging="360"/>
        <w:jc w:val="both"/>
      </w:pPr>
      <w:r>
        <w:rPr>
          <w:rFonts w:ascii="Arial" w:hAnsi="Arial"/>
          <w:sz w:val="20"/>
          <w:vertAlign w:val="superscript"/>
        </w:rPr>
        <w:t>5</w:t>
      </w:r>
      <w:r>
        <w:rPr>
          <w:sz w:val="20"/>
        </w:rPr>
        <w:t xml:space="preserve"> </w:t>
      </w:r>
      <w:r>
        <w:rPr>
          <w:rFonts w:ascii="Arial" w:hAnsi="Arial"/>
          <w:i w:val="0"/>
          <w:sz w:val="20"/>
        </w:rPr>
        <w:t>GARCÍA DAMBORENEA, op. cit.</w:t>
      </w:r>
      <w:r>
        <w:rPr>
          <w:rFonts w:ascii="Arial" w:hAnsi="Arial"/>
          <w:i w:val="0"/>
          <w:sz w:val="20"/>
        </w:rPr>
        <w:t>, p. 42.</w:t>
      </w:r>
    </w:p>
    <w:p>
      <w:pPr>
        <w:spacing w:after="60"/>
        <w:ind w:left="360" w:hanging="360"/>
        <w:jc w:val="both"/>
      </w:pPr>
      <w:r>
        <w:rPr>
          <w:rFonts w:ascii="Arial" w:hAnsi="Arial"/>
          <w:sz w:val="20"/>
          <w:vertAlign w:val="superscript"/>
        </w:rPr>
        <w:t>6</w:t>
      </w:r>
      <w:r>
        <w:rPr>
          <w:sz w:val="20"/>
        </w:rPr>
        <w:t xml:space="preserve"> </w:t>
      </w:r>
      <w:r>
        <w:rPr>
          <w:rFonts w:ascii="Arial" w:hAnsi="Arial"/>
          <w:i w:val="0"/>
          <w:sz w:val="20"/>
        </w:rPr>
        <w:t>GARCÍA DAMBORENEA, op. cit.</w:t>
      </w:r>
      <w:r>
        <w:rPr>
          <w:rFonts w:ascii="Arial" w:hAnsi="Arial"/>
          <w:i w:val="0"/>
          <w:sz w:val="20"/>
        </w:rPr>
        <w:t>, p. 64.</w:t>
      </w:r>
    </w:p>
    <w:p/>
    <w:p>
      <w:r>
        <w:rPr>
          <w:rFonts w:ascii="Arial" w:hAnsi="Arial"/>
          <w:b/>
          <w:sz w:val="22"/>
        </w:rPr>
        <w:t>BIBLIOGRAFÍA</w:t>
      </w:r>
    </w:p>
    <w:p>
      <w:pPr>
        <w:spacing w:after="60"/>
        <w:ind w:left="360" w:hanging="360"/>
        <w:jc w:val="both"/>
      </w:pPr>
      <w:r>
        <w:rPr>
          <w:rFonts w:ascii="Arial" w:hAnsi="Arial"/>
          <w:i w:val="0"/>
          <w:sz w:val="20"/>
        </w:rPr>
        <w:t xml:space="preserve">FERRER MAC-GREGOR, Eduardo et al. (coord.), </w:t>
      </w:r>
      <w:r>
        <w:rPr>
          <w:rFonts w:ascii="Arial" w:hAnsi="Arial"/>
          <w:i/>
          <w:sz w:val="20"/>
        </w:rPr>
        <w:t>Diccionario de derecho procesal constitucional y convencional. Tomo II</w:t>
      </w:r>
      <w:r>
        <w:rPr>
          <w:rFonts w:ascii="Arial" w:hAnsi="Arial"/>
          <w:i w:val="0"/>
          <w:sz w:val="20"/>
        </w:rPr>
        <w:t>, 3ª ed., Universidad Nacional Autónoma de México, Instituto de Investigaciones Jurídicas; Instituto de Estudios Constitucionales del Estado de Querétaro, México, 2021.</w:t>
      </w:r>
    </w:p>
    <w:p>
      <w:pPr>
        <w:spacing w:after="60"/>
        <w:ind w:left="360" w:hanging="360"/>
        <w:jc w:val="both"/>
      </w:pP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w:t>
      </w:r>
    </w:p>
    <w:p>
      <w:pPr>
        <w:spacing w:after="60"/>
        <w:ind w:left="360" w:hanging="360"/>
        <w:jc w:val="both"/>
      </w:pPr>
      <w:r>
        <w:rPr>
          <w:rFonts w:ascii="Arial" w:hAnsi="Arial"/>
          <w:i w:val="0"/>
          <w:sz w:val="20"/>
        </w:rPr>
        <w:t xml:space="preserve">GUASTINI, Riccardo, </w:t>
      </w:r>
      <w:r>
        <w:rPr>
          <w:rFonts w:ascii="Arial" w:hAnsi="Arial"/>
          <w:i/>
          <w:sz w:val="20"/>
        </w:rPr>
        <w:t>Interpretar y argumentar</w:t>
      </w:r>
      <w:r>
        <w:rPr>
          <w:rFonts w:ascii="Arial" w:hAnsi="Arial"/>
          <w:i w:val="0"/>
          <w:sz w:val="20"/>
        </w:rPr>
        <w:t>, trad. de Silvina Álvarez Medina, Centro de Estudios Políticos y Constitucionales, Madrid, 2014.</w:t>
      </w:r>
    </w:p>
    <w:sectPr w:rsidR="00FC693F" w:rsidRPr="0006063C" w:rsidSect="00034616">
      <w:footerReference w:type="default" r:id="rId9"/>
      <w:pgSz w:w="12246" w:h="19276"/>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t xml:space="preserve">Página </w:t>
    </w:r>
    <w:r>
      <w:rPr>
        <w:rFonts w:ascii="Arial" w:hAnsi="Arial"/>
        <w:sz w:val="20"/>
      </w:rPr>
      <w:fldChar w:fldCharType="begin"/>
      <w:instrText xml:space="preserve">PAGE</w:instrText>
      <w:fldChar w:fldCharType="end"/>
    </w:r>
    <w:r>
      <w:rPr>
        <w:rFonts w:ascii="Arial" w:hAnsi="Arial"/>
        <w:sz w:val="20"/>
      </w:rPr>
      <w:t xml:space="preserve"> de </w:t>
    </w:r>
    <w:r>
      <w:rPr>
        <w:rFonts w:ascii="Arial" w:hAnsi="Arial"/>
        <w:sz w:val="20"/>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DocSecurity>0</DocSecurity>
  <ScaleCrop>false</ScaleCrop>
  <LinksUpToDate>false</LinksUpToDate>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category/>
</cp:coreProperties>
</file>