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SALARIOS CAÍDOS Y NEGATIVA PARCIAL DE DEVOLUCIÓN DEL ISR</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impugnación a tu demanda de nulidad. Reúne primero las tres pruebas que sostienen el argumento: el laudo o sentencia laboral firme que declaró injustificada la separación y condenó al pago de salarios caídos, el acta de la diligencia de pago o el convenio de ejecución donde consta la cantidad entregada, y una constancia de antigüedad que acredite los años de servicio para cuantificar la exención; agrega los CFDI de nómina en que el patrón clasificó el pago como sueldo y la resolución del recurso de revocación si lo agotaste.</w:t>
      </w:r>
    </w:p>
    <w:p>
      <w:pPr>
        <w:spacing w:line="360" w:lineRule="auto"/>
        <w:jc w:val="both"/>
      </w:pPr>
      <w:r>
        <w:rPr>
          <w:rFonts w:ascii="Arial" w:hAnsi="Arial"/>
          <w:b w:val="0"/>
          <w:i w:val="0"/>
          <w:sz w:val="24"/>
        </w:rPr>
        <w:t>Después llena los campos editables, cuida que las cantidades coincidan con la solicitud de devolución y con la declaración anual, y adapta el fundamento laboral: si eres persona servidora pública, conserva la referencia a la Ley Federal de los Trabajadores al Servicio del Estado; si tu relación se rige por el apartado A, apóyate en los artículos 48 y 50 de la Ley Federal del Trabajo. Recuerda que la demanda de nulidad se presenta en treinta días (artículo 58-2, párrafo tercero, de la Ley Federal de Procedimiento Contencioso Administrativo, plazo que rige también en la vía sumaria).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[NÚMERO DE OFICIO DE LA RESOLUCIÓN IMPUGNADA]</w:t>
      </w:r>
      <w:r>
        <w:rPr>
          <w:rFonts w:ascii="Arial" w:hAnsi="Arial"/>
          <w:b w:val="0"/>
          <w:i w:val="0"/>
          <w:sz w:val="24"/>
        </w:rPr>
        <w:t>: el oficio que resolvió el recurso de revocación o, si no lo interpusiste, el de la negativa parcial.</w:t>
      </w:r>
    </w:p>
    <w:p>
      <w:pPr>
        <w:spacing w:line="360" w:lineRule="auto"/>
        <w:jc w:val="both"/>
      </w:pPr>
      <w:r>
        <w:rPr>
          <w:rFonts w:ascii="Arial" w:hAnsi="Arial"/>
          <w:b/>
          <w:i w:val="0"/>
          <w:sz w:val="24"/>
        </w:rPr>
        <w:t>[FECHA DE LA RESOLUCIÓN IMPUGNADA]</w:t>
      </w:r>
      <w:r>
        <w:rPr>
          <w:rFonts w:ascii="Arial" w:hAnsi="Arial"/>
          <w:b w:val="0"/>
          <w:i w:val="0"/>
          <w:sz w:val="24"/>
        </w:rPr>
        <w:t>: la fecha que ostenta ese oficio.</w:t>
      </w:r>
    </w:p>
    <w:p>
      <w:pPr>
        <w:spacing w:line="360" w:lineRule="auto"/>
        <w:jc w:val="both"/>
      </w:pPr>
      <w:r>
        <w:rPr>
          <w:rFonts w:ascii="Arial" w:hAnsi="Arial"/>
          <w:b/>
          <w:i w:val="0"/>
          <w:sz w:val="24"/>
        </w:rPr>
        <w:t>[AUTORIDAD DEMANDADA]</w:t>
      </w:r>
      <w:r>
        <w:rPr>
          <w:rFonts w:ascii="Arial" w:hAnsi="Arial"/>
          <w:b w:val="0"/>
          <w:i w:val="0"/>
          <w:sz w:val="24"/>
        </w:rPr>
        <w:t>: la unidad administrativa emisora, con su denominación completa.</w:t>
      </w:r>
    </w:p>
    <w:p>
      <w:pPr>
        <w:spacing w:line="360" w:lineRule="auto"/>
        <w:jc w:val="both"/>
      </w:pPr>
      <w:r>
        <w:rPr>
          <w:rFonts w:ascii="Arial" w:hAnsi="Arial"/>
          <w:b/>
          <w:i w:val="0"/>
          <w:sz w:val="24"/>
        </w:rPr>
        <w:t>[NÚMERO DE OFICIO DE LA RESOLUCIÓN RECURRIDA]</w:t>
      </w:r>
      <w:r>
        <w:rPr>
          <w:rFonts w:ascii="Arial" w:hAnsi="Arial"/>
          <w:b w:val="0"/>
          <w:i w:val="0"/>
          <w:sz w:val="24"/>
        </w:rPr>
        <w:t>: el oficio que autorizó parcialmente la devolución.</w:t>
      </w:r>
    </w:p>
    <w:p>
      <w:pPr>
        <w:spacing w:line="360" w:lineRule="auto"/>
        <w:jc w:val="both"/>
      </w:pPr>
      <w:r>
        <w:rPr>
          <w:rFonts w:ascii="Arial" w:hAnsi="Arial"/>
          <w:b/>
          <w:i w:val="0"/>
          <w:sz w:val="24"/>
        </w:rPr>
        <w:t>[FECHA DE LA RESOLUCIÓN RECURRIDA]</w:t>
      </w:r>
      <w:r>
        <w:rPr>
          <w:rFonts w:ascii="Arial" w:hAnsi="Arial"/>
          <w:b w:val="0"/>
          <w:i w:val="0"/>
          <w:sz w:val="24"/>
        </w:rPr>
        <w:t>: la fecha de ese oficio.</w:t>
      </w:r>
    </w:p>
    <w:p>
      <w:pPr>
        <w:spacing w:line="360" w:lineRule="auto"/>
        <w:jc w:val="both"/>
      </w:pPr>
      <w:r>
        <w:rPr>
          <w:rFonts w:ascii="Arial" w:hAnsi="Arial"/>
          <w:b/>
          <w:i w:val="0"/>
          <w:sz w:val="24"/>
        </w:rPr>
        <w:t>[EJERCICIO FISCAL DEL SALDO A FAVOR]</w:t>
      </w:r>
      <w:r>
        <w:rPr>
          <w:rFonts w:ascii="Arial" w:hAnsi="Arial"/>
          <w:b w:val="0"/>
          <w:i w:val="0"/>
          <w:sz w:val="24"/>
        </w:rPr>
        <w:t>: el año en que recibiste el pago y presentaste la declaración anual con saldo a favor.</w:t>
      </w:r>
    </w:p>
    <w:p>
      <w:pPr>
        <w:spacing w:line="360" w:lineRule="auto"/>
        <w:jc w:val="both"/>
      </w:pPr>
      <w:r>
        <w:rPr>
          <w:rFonts w:ascii="Arial" w:hAnsi="Arial"/>
          <w:b/>
          <w:i w:val="0"/>
          <w:sz w:val="24"/>
        </w:rPr>
        <w:t>[NOMBRE DE LA PARTE ACTORA]</w:t>
      </w:r>
      <w:r>
        <w:rPr>
          <w:rFonts w:ascii="Arial" w:hAnsi="Arial"/>
          <w:b w:val="0"/>
          <w:i w:val="0"/>
          <w:sz w:val="24"/>
        </w:rPr>
        <w:t>: la persona trabajadora que solicitó la devolución.</w:t>
      </w:r>
    </w:p>
    <w:p>
      <w:pPr>
        <w:spacing w:line="360" w:lineRule="auto"/>
        <w:jc w:val="both"/>
      </w:pPr>
      <w:r>
        <w:rPr>
          <w:rFonts w:ascii="Arial" w:hAnsi="Arial"/>
          <w:b/>
          <w:i w:val="0"/>
          <w:sz w:val="24"/>
        </w:rPr>
        <w:t>[MONTO PAGADO POR SALARIOS CAÍDOS]</w:t>
      </w:r>
      <w:r>
        <w:rPr>
          <w:rFonts w:ascii="Arial" w:hAnsi="Arial"/>
          <w:b w:val="0"/>
          <w:i w:val="0"/>
          <w:sz w:val="24"/>
        </w:rPr>
        <w:t>: la cantidad que el patrón pagó por ese concepto, tal como consta en la diligencia de pago.</w:t>
      </w:r>
    </w:p>
    <w:p>
      <w:pPr>
        <w:spacing w:line="360" w:lineRule="auto"/>
        <w:jc w:val="both"/>
      </w:pPr>
      <w:r>
        <w:rPr>
          <w:rFonts w:ascii="Arial" w:hAnsi="Arial"/>
          <w:b/>
          <w:i w:val="0"/>
          <w:sz w:val="24"/>
        </w:rPr>
        <w:t>[MONTO SOLICITADO EN DEVOLUCIÓN]</w:t>
      </w:r>
      <w:r>
        <w:rPr>
          <w:rFonts w:ascii="Arial" w:hAnsi="Arial"/>
          <w:b w:val="0"/>
          <w:i w:val="0"/>
          <w:sz w:val="24"/>
        </w:rPr>
        <w:t>: el saldo a favor que pediste en la solicitud de devolución.</w:t>
      </w:r>
    </w:p>
    <w:p>
      <w:pPr>
        <w:spacing w:line="360" w:lineRule="auto"/>
        <w:jc w:val="both"/>
      </w:pPr>
      <w:r>
        <w:rPr>
          <w:rFonts w:ascii="Arial" w:hAnsi="Arial"/>
          <w:b/>
          <w:i w:val="0"/>
          <w:sz w:val="24"/>
        </w:rPr>
        <w:t>[ÓRGANO JURISDICCIONAL LABORAL]</w:t>
      </w:r>
      <w:r>
        <w:rPr>
          <w:rFonts w:ascii="Arial" w:hAnsi="Arial"/>
          <w:b w:val="0"/>
          <w:i w:val="0"/>
          <w:sz w:val="24"/>
        </w:rPr>
        <w:t>: el Tribunal Laboral, Tribunal de Arbitraje o Junta que dictó el laudo.</w:t>
      </w:r>
    </w:p>
    <w:p>
      <w:pPr>
        <w:spacing w:line="360" w:lineRule="auto"/>
        <w:jc w:val="both"/>
      </w:pPr>
      <w:r>
        <w:rPr>
          <w:rFonts w:ascii="Arial" w:hAnsi="Arial"/>
          <w:b/>
          <w:i w:val="0"/>
          <w:sz w:val="24"/>
        </w:rPr>
        <w:t>[NÚMERO DEL EXPEDIENTE LABORAL]</w:t>
      </w:r>
      <w:r>
        <w:rPr>
          <w:rFonts w:ascii="Arial" w:hAnsi="Arial"/>
          <w:b w:val="0"/>
          <w:i w:val="0"/>
          <w:sz w:val="24"/>
        </w:rPr>
        <w:t>: el expediente del juicio laboral.</w:t>
      </w:r>
    </w:p>
    <w:p>
      <w:pPr>
        <w:spacing w:line="360" w:lineRule="auto"/>
        <w:jc w:val="both"/>
      </w:pPr>
      <w:r>
        <w:rPr>
          <w:rFonts w:ascii="Arial" w:hAnsi="Arial"/>
          <w:b/>
          <w:i w:val="0"/>
          <w:sz w:val="24"/>
        </w:rPr>
        <w:t>[NOMBRE DEL PATRÓN O DEPENDENCIA RETENEDORA]</w:t>
      </w:r>
      <w:r>
        <w:rPr>
          <w:rFonts w:ascii="Arial" w:hAnsi="Arial"/>
          <w:b w:val="0"/>
          <w:i w:val="0"/>
          <w:sz w:val="24"/>
        </w:rPr>
        <w:t>: el empleador condenado que pagó y retuvo.</w:t>
      </w:r>
    </w:p>
    <w:p>
      <w:pPr>
        <w:spacing w:line="360" w:lineRule="auto"/>
        <w:jc w:val="both"/>
      </w:pPr>
      <w:r>
        <w:rPr>
          <w:rFonts w:ascii="Arial" w:hAnsi="Arial"/>
          <w:b/>
          <w:i w:val="0"/>
          <w:sz w:val="24"/>
        </w:rPr>
        <w:t>[FECHA DEL LAUDO O SENTENCIA LABORAL]</w:t>
      </w:r>
      <w:r>
        <w:rPr>
          <w:rFonts w:ascii="Arial" w:hAnsi="Arial"/>
          <w:b w:val="0"/>
          <w:i w:val="0"/>
          <w:sz w:val="24"/>
        </w:rPr>
        <w:t>: la fecha del laudo firme; si se dictó en cumplimiento de un amparo, menciónalo.</w:t>
      </w:r>
    </w:p>
    <w:p>
      <w:pPr>
        <w:spacing w:line="360" w:lineRule="auto"/>
        <w:jc w:val="both"/>
      </w:pPr>
      <w:r>
        <w:rPr>
          <w:rFonts w:ascii="Arial" w:hAnsi="Arial"/>
          <w:b/>
          <w:i w:val="0"/>
          <w:sz w:val="24"/>
        </w:rPr>
        <w:t>[FECHA DE LA DILIGENCIA DE PAGO]</w:t>
      </w:r>
      <w:r>
        <w:rPr>
          <w:rFonts w:ascii="Arial" w:hAnsi="Arial"/>
          <w:b w:val="0"/>
          <w:i w:val="0"/>
          <w:sz w:val="24"/>
        </w:rPr>
        <w:t>: la fecha del acta o convenio en que recibiste el pago.</w:t>
      </w:r>
    </w:p>
    <w:p/>
    <w:p>
      <w:pPr>
        <w:spacing w:line="360" w:lineRule="auto"/>
        <w:jc w:val="both"/>
      </w:pPr>
      <w:r>
        <w:rPr>
          <w:rFonts w:ascii="Arial" w:hAnsi="Arial"/>
          <w:b/>
          <w:sz w:val="28"/>
        </w:rPr>
        <w:t>[NÚMERO ORDINAL DEL CONCEPTO] CONCEPTO DE IMPUGNACIÓN. Indebida fundamentación y motivación de la negativa parcial de devolución del impuesto sobre la renta. La autoridad calificó como sueldos ordinarios, y gravó con la tarifa del artículo 152 de la Ley del Impuesto sobre la Renta, una cantidad pagada por salarios caídos que constituye una prestación derivada de la terminación de la relación laboral, sujeta a la exención del artículo 93, fracción XIII, y a la mecánica del artículo 95 de esa ley; se actualiza la causal del artículo 51, fracción IV, de la Ley Federal de Procedimiento Contencioso Administrativo.</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la resolución contenida en el oficio </w:t>
      </w:r>
      <w:r>
        <w:rPr>
          <w:rFonts w:ascii="Arial" w:hAnsi="Arial"/>
          <w:b/>
          <w:i w:val="0"/>
          <w:sz w:val="28"/>
        </w:rPr>
        <w:t>[NÚMERO DE OFICIO DE LA RESOLUCIÓN IMPUGNADA]</w:t>
      </w:r>
      <w:r>
        <w:rPr>
          <w:rFonts w:ascii="Arial" w:hAnsi="Arial"/>
          <w:b w:val="0"/>
          <w:i w:val="0"/>
          <w:sz w:val="28"/>
        </w:rPr>
        <w:t xml:space="preserve">, de </w:t>
      </w:r>
      <w:r>
        <w:rPr>
          <w:rFonts w:ascii="Arial" w:hAnsi="Arial"/>
          <w:b/>
          <w:i w:val="0"/>
          <w:sz w:val="28"/>
        </w:rPr>
        <w:t>[FECHA DE LA RESOLUCIÓN IMPUGNADA]</w:t>
      </w:r>
      <w:r>
        <w:rPr>
          <w:rFonts w:ascii="Arial" w:hAnsi="Arial"/>
          <w:b w:val="0"/>
          <w:i w:val="0"/>
          <w:sz w:val="28"/>
        </w:rPr>
        <w:t xml:space="preserve">, por la que la </w:t>
      </w:r>
      <w:r>
        <w:rPr>
          <w:rFonts w:ascii="Arial" w:hAnsi="Arial"/>
          <w:b/>
          <w:i w:val="0"/>
          <w:sz w:val="28"/>
        </w:rPr>
        <w:t>[AUTORIDAD DEMANDADA]</w:t>
      </w:r>
      <w:r>
        <w:rPr>
          <w:rFonts w:ascii="Arial" w:hAnsi="Arial"/>
          <w:b w:val="0"/>
          <w:i w:val="0"/>
          <w:sz w:val="28"/>
        </w:rPr>
        <w:t xml:space="preserve">, al resolver el recurso de revocación, confirmó el oficio </w:t>
      </w:r>
      <w:r>
        <w:rPr>
          <w:rFonts w:ascii="Arial" w:hAnsi="Arial"/>
          <w:b/>
          <w:i w:val="0"/>
          <w:sz w:val="28"/>
        </w:rPr>
        <w:t>[NÚMERO DE OFICIO DE LA RESOLUCIÓN RECURRIDA]</w:t>
      </w:r>
      <w:r>
        <w:rPr>
          <w:rFonts w:ascii="Arial" w:hAnsi="Arial"/>
          <w:b w:val="0"/>
          <w:i w:val="0"/>
          <w:sz w:val="28"/>
        </w:rPr>
        <w:t xml:space="preserve">, de </w:t>
      </w:r>
      <w:r>
        <w:rPr>
          <w:rFonts w:ascii="Arial" w:hAnsi="Arial"/>
          <w:b/>
          <w:i w:val="0"/>
          <w:sz w:val="28"/>
        </w:rPr>
        <w:t>[FECHA DE LA RESOLUCIÓN RECURRIDA]</w:t>
      </w:r>
      <w:r>
        <w:rPr>
          <w:rFonts w:ascii="Arial" w:hAnsi="Arial"/>
          <w:b w:val="0"/>
          <w:i w:val="0"/>
          <w:sz w:val="28"/>
        </w:rPr>
        <w:t xml:space="preserve">, que autorizó sólo parcialmente la devolución del saldo a favor del impuesto sobre la renta del ejercicio </w:t>
      </w:r>
      <w:r>
        <w:rPr>
          <w:rFonts w:ascii="Arial" w:hAnsi="Arial"/>
          <w:b/>
          <w:i w:val="0"/>
          <w:sz w:val="28"/>
        </w:rPr>
        <w:t>[EJERCICIO FISCAL DEL SALDO A FAVOR]</w:t>
      </w:r>
      <w:r>
        <w:rPr>
          <w:rFonts w:ascii="Arial" w:hAnsi="Arial"/>
          <w:b w:val="0"/>
          <w:i w:val="0"/>
          <w:sz w:val="28"/>
        </w:rPr>
        <w:t xml:space="preserve"> solicitada por </w:t>
      </w:r>
      <w:r>
        <w:rPr>
          <w:rFonts w:ascii="Arial" w:hAnsi="Arial"/>
          <w:b/>
          <w:i w:val="0"/>
          <w:sz w:val="28"/>
        </w:rPr>
        <w:t>[NOMBRE DE LA PARTE ACTORA]</w:t>
      </w:r>
      <w:r>
        <w:rPr>
          <w:rFonts w:ascii="Arial" w:hAnsi="Arial"/>
          <w:b w:val="0"/>
          <w:i w:val="0"/>
          <w:sz w:val="28"/>
        </w:rPr>
        <w:t>, está indebidamente fundada y motivada en cuanto al fondo.</w:t>
      </w:r>
    </w:p>
    <w:p>
      <w:pPr>
        <w:spacing w:line="360" w:lineRule="auto"/>
        <w:jc w:val="both"/>
      </w:pPr>
      <w:r>
        <w:rPr>
          <w:rFonts w:ascii="Arial" w:hAnsi="Arial"/>
          <w:b w:val="0"/>
          <w:i w:val="0"/>
          <w:sz w:val="28"/>
        </w:rPr>
        <w:t xml:space="preserve">El vicio consiste en una calificación equivocada del ingreso. La autoridad tomó la clave con que el retenedor timbró los comprobantes fiscales de nómina y, a partir de esa etiqueta, trató como sueldos ordinarios la cantidad de </w:t>
      </w:r>
      <w:r>
        <w:rPr>
          <w:rFonts w:ascii="Arial" w:hAnsi="Arial"/>
          <w:b/>
          <w:i w:val="0"/>
          <w:sz w:val="28"/>
        </w:rPr>
        <w:t>[MONTO PAGADO POR SALARIOS CAÍDOS]</w:t>
      </w:r>
      <w:r>
        <w:rPr>
          <w:rFonts w:ascii="Arial" w:hAnsi="Arial"/>
          <w:b w:val="0"/>
          <w:i w:val="0"/>
          <w:sz w:val="28"/>
        </w:rPr>
        <w:t xml:space="preserve"> que la parte actora recibió en cumplimiento de un laudo firme que condenó al pago de salarios caídos. Le aplicó, en consecuencia, la tarifa anual del artículo 152 de la Ley del Impuesto sobre la Renta y negó la porción de la devolución que resultaba de tributar esa suma como lo que es: una prestación percibida por la terminación de la relación laboral.</w:t>
      </w:r>
    </w:p>
    <w:p>
      <w:pPr>
        <w:spacing w:line="360" w:lineRule="auto"/>
        <w:jc w:val="both"/>
      </w:pPr>
      <w:r>
        <w:rPr>
          <w:rFonts w:ascii="Arial" w:hAnsi="Arial"/>
          <w:b w:val="0"/>
          <w:i w:val="0"/>
          <w:sz w:val="28"/>
        </w:rPr>
        <w:t>Se demostrará que la propia ley distingue, dentro del mismo capítulo, los salarios de las prestaciones por separación; que los salarios caídos pertenecen a la segunda categoría, porque no retribuyen trabajo alguno, sino que resarcen una separación declarada injustificada; que la condena a reinstalación no altera esa naturaleza; y que la clave del comprobante fiscal es un dato formal del retenedor que no sustituye la calificación jurídica del ingreso ni releva a la autoridad del deber de fundar y motivar la negativa parcial que le impone el artículo 22 del Código Fiscal de la Federación.</w:t>
      </w:r>
    </w:p>
    <w:p>
      <w:pPr>
        <w:spacing w:line="360" w:lineRule="auto"/>
        <w:jc w:val="both"/>
      </w:pPr>
      <w:r>
        <w:rPr>
          <w:rFonts w:ascii="Arial" w:hAnsi="Arial"/>
          <w:b w:val="0"/>
          <w:i w:val="0"/>
          <w:sz w:val="28"/>
        </w:rPr>
        <w:t>De acreditarse lo anterior, la resolución recurrida apreció los hechos en forma equivocada y aplicó un precepto inaplicable, hipótesis del artículo 51, fracción IV, de la Ley Federal de Procedimiento Contencioso Administrativo, y la resolución impugnada, que la confirmó sin corregirla, participa del mismo vicio. Procede la nulidad de ambas y que la devolución se recalcule con los artículos 93, fracción XIII, y 95 de la Ley del Impuesto sobre la Renta, con la actualización y los intereses que el Código prevé.</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cuya nulidad se demanda es la resolución recaída al recurso de revocación, contenida en el oficio </w:t>
      </w:r>
      <w:r>
        <w:rPr>
          <w:rFonts w:ascii="Arial" w:hAnsi="Arial"/>
          <w:b/>
          <w:i w:val="0"/>
          <w:sz w:val="28"/>
        </w:rPr>
        <w:t>[NÚMERO DE OFICIO DE LA RESOLUCIÓN IMPUGNADA]</w:t>
      </w:r>
      <w:r>
        <w:rPr>
          <w:rFonts w:ascii="Arial" w:hAnsi="Arial"/>
          <w:b w:val="0"/>
          <w:i w:val="0"/>
          <w:sz w:val="28"/>
        </w:rPr>
        <w:t xml:space="preserve">, y, como resolución recurrida, el oficio </w:t>
      </w:r>
      <w:r>
        <w:rPr>
          <w:rFonts w:ascii="Arial" w:hAnsi="Arial"/>
          <w:b/>
          <w:i w:val="0"/>
          <w:sz w:val="28"/>
        </w:rPr>
        <w:t>[NÚMERO DE OFICIO DE LA RESOLUCIÓN RECURRIDA]</w:t>
      </w:r>
      <w:r>
        <w:rPr>
          <w:rFonts w:ascii="Arial" w:hAnsi="Arial"/>
          <w:b w:val="0"/>
          <w:i w:val="0"/>
          <w:sz w:val="28"/>
        </w:rPr>
        <w:t xml:space="preserve">, por el que la autoridad fiscal autorizó parcialmente la devolución del saldo a favor de </w:t>
      </w:r>
      <w:r>
        <w:rPr>
          <w:rFonts w:ascii="Arial" w:hAnsi="Arial"/>
          <w:b/>
          <w:i w:val="0"/>
          <w:sz w:val="28"/>
        </w:rPr>
        <w:t>[MONTO SOLICITADO EN DEVOLUCIÓN]</w:t>
      </w:r>
      <w:r>
        <w:rPr>
          <w:rFonts w:ascii="Arial" w:hAnsi="Arial"/>
          <w:b w:val="0"/>
          <w:i w:val="0"/>
          <w:sz w:val="28"/>
        </w:rPr>
        <w:t xml:space="preserve"> y negó el resto. Conforme al artículo 22 del Código Fiscal de la Federación, cuando se devuelve una cantidad menor </w:t>
      </w:r>
      <w:r>
        <w:rPr>
          <w:rFonts w:ascii="Arial" w:hAnsi="Arial"/>
          <w:b w:val="0"/>
          <w:i/>
          <w:sz w:val="28"/>
        </w:rPr>
        <w:t>«la solicitud se considerará negada por la parte que no sea devuelta»</w:t>
      </w:r>
      <w:r>
        <w:rPr>
          <w:rFonts w:ascii="Arial" w:hAnsi="Arial"/>
          <w:b w:val="0"/>
          <w:i w:val="0"/>
          <w:sz w:val="28"/>
        </w:rPr>
        <w:t>, así que lo combatido es una negativa parcial de devolución.</w:t>
      </w:r>
    </w:p>
    <w:p>
      <w:pPr>
        <w:spacing w:line="360" w:lineRule="auto"/>
        <w:jc w:val="both"/>
      </w:pPr>
      <w:r>
        <w:rPr>
          <w:rFonts w:ascii="Arial" w:hAnsi="Arial"/>
          <w:b w:val="0"/>
          <w:i w:val="0"/>
          <w:sz w:val="28"/>
        </w:rPr>
        <w:t>Las normas cuya inobservancia se plantea son el artículo 16, primer párrafo, de la Constitución Política de los Estados Unidos Mexicanos y el artículo 38, fracción IV, del Código Fiscal de la Federación, que exigen que todo acto de molestia esté fundado y motivado; el artículo 22 del mismo Código, que obliga a devolver las contribuciones retenidas a quien las sufrió y a fundar y motivar la negativa parcial; y los artículos 94, 93, fracción XIII, y 95 de la Ley del Impuesto sobre la Renta, que fijan el tratamiento de las prestaciones percibidas por la terminación de la relación laboral.</w:t>
      </w:r>
    </w:p>
    <w:p>
      <w:pPr>
        <w:spacing w:line="360" w:lineRule="auto"/>
        <w:jc w:val="both"/>
      </w:pPr>
      <w:r>
        <w:rPr>
          <w:rFonts w:ascii="Arial" w:hAnsi="Arial"/>
          <w:b w:val="0"/>
          <w:i w:val="0"/>
          <w:sz w:val="28"/>
        </w:rPr>
        <w:t>El perjuicio es concreto y cuantificable: el retenedor enteró un impuesto calculado sobre la totalidad de la cantidad, como si fuera salario del periodo; la ley exenta una parte de esa suma y somete el excedente a una tasa efectiva menor que la tarifa progresiva; y la autoridad, al negar la devolución de esa diferencia, retiene en el erario una cantidad que la parte actora nunca debió pagar por salarios de varios años acumulados en un solo ejercicio.</w:t>
      </w:r>
    </w:p>
    <w:p>
      <w:pPr>
        <w:spacing w:line="360" w:lineRule="auto"/>
        <w:jc w:val="both"/>
      </w:pPr>
      <w:r>
        <w:rPr>
          <w:rFonts w:ascii="Arial" w:hAnsi="Arial"/>
          <w:b w:val="0"/>
          <w:i w:val="0"/>
          <w:sz w:val="28"/>
        </w:rPr>
        <w:t>De prosperar este concepto, el beneficio es el mayor posible en el juicio: la nulidad de la negativa parcial con la obligación de recalcular y devolver el saldo a favor actualizado y con intereses, por lo que se solicita su estudio preferente conforme al artículo 50 de la Ley Federal de Procedimiento Contencioso Administrativo.</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partir de la garantía de fundamentación y motivación, que en materia fiscal reitera el artículo 38, fracción IV, del Código Fiscal de la Federación. Fundar es citar el precepto exactamente aplicable; motivar es expresar las circunstancias del caso y, sobre todo, la adecuación entre ellas y la hipótesis de la norma. Por eso no basta con citar preceptos legales si no están concatenados con la argumentación que los vincula a los hechos.</w:t>
      </w:r>
      <w:r>
        <w:rPr>
          <w:rFonts w:ascii="Arial" w:hAnsi="Arial"/>
          <w:vertAlign w:val="superscript"/>
        </w:rPr>
        <w:t>1</w:t>
      </w:r>
    </w:p>
    <w:p>
      <w:pPr>
        <w:spacing w:line="360" w:lineRule="auto"/>
        <w:jc w:val="both"/>
      </w:pPr>
      <w:r>
        <w:rPr>
          <w:rFonts w:ascii="Arial" w:hAnsi="Arial"/>
          <w:b w:val="0"/>
          <w:i w:val="0"/>
          <w:sz w:val="28"/>
        </w:rPr>
        <w:t>Cuando la autoridad aprecia equivocadamente los hechos o invoca un precepto que no corresponde a ellos, el acto no carece de fundamentación: está indebidamente fundado y motivado, hipótesis que constituye una violación material o de fondo, como lo ha reconocido la Sala en casos análogos, y que por lo mismo no se cura con una nueva cita de preceptos, sino con una calificación distinta de los hechos.</w:t>
      </w:r>
    </w:p>
    <w:p>
      <w:pPr>
        <w:spacing w:line="360" w:lineRule="auto"/>
        <w:jc w:val="both"/>
      </w:pPr>
      <w:r>
        <w:rPr>
          <w:rFonts w:ascii="Arial" w:hAnsi="Arial"/>
          <w:b w:val="0"/>
          <w:i w:val="0"/>
          <w:sz w:val="28"/>
        </w:rPr>
        <w:t xml:space="preserve">Sobre esa base debe leerse la Ley del Impuesto sobre la Renta. Su Título IV organiza el gravamen de las personas físicas por cédulas, según la fuente del ingreso, y el Capítulo I comprende, conforme al artículo 94, primer párrafo, </w:t>
      </w:r>
      <w:r>
        <w:rPr>
          <w:rFonts w:ascii="Arial" w:hAnsi="Arial"/>
          <w:b w:val="0"/>
          <w:i/>
          <w:sz w:val="28"/>
        </w:rPr>
        <w:t>«los salarios y demás prestaciones que deriven de una relación laboral, incluyendo la participación de los trabajadores en las utilidades de las empresas y las prestaciones percibidas como consecuencia de la terminación de la relación laboral»</w:t>
      </w:r>
      <w:r>
        <w:rPr>
          <w:rFonts w:ascii="Arial" w:hAnsi="Arial"/>
          <w:b w:val="0"/>
          <w:i w:val="0"/>
          <w:sz w:val="28"/>
        </w:rPr>
        <w:t>. La ley reúne así dos categorías que nombra por separado: las que retribuyen el trabajo y las que derivan de su terminación.</w:t>
      </w:r>
    </w:p>
    <w:p>
      <w:pPr>
        <w:spacing w:line="360" w:lineRule="auto"/>
        <w:jc w:val="both"/>
      </w:pPr>
      <w:r>
        <w:rPr>
          <w:rFonts w:ascii="Arial" w:hAnsi="Arial"/>
          <w:b w:val="0"/>
          <w:i w:val="0"/>
          <w:sz w:val="28"/>
        </w:rPr>
        <w:t xml:space="preserve">Esa distinción no es nominal, porque cada categoría tiene su propia mecánica. El artículo 93, fracción XIII, exenta los ingresos que obtengan </w:t>
      </w:r>
      <w:r>
        <w:rPr>
          <w:rFonts w:ascii="Arial" w:hAnsi="Arial"/>
          <w:b w:val="0"/>
          <w:i/>
          <w:sz w:val="28"/>
        </w:rPr>
        <w:t>«las personas que han estado sujetas a una relación laboral en el momento de su separación, por concepto de primas de antigüedad, retiro e indemnizaciones u otros pagos»</w:t>
      </w:r>
      <w:r>
        <w:rPr>
          <w:rFonts w:ascii="Arial" w:hAnsi="Arial"/>
          <w:b w:val="0"/>
          <w:i w:val="0"/>
          <w:sz w:val="28"/>
        </w:rPr>
        <w:t xml:space="preserve">, hasta el equivalente a noventa veces el salario mínimo general del área geográfica por cada año de servicio, y ordena que </w:t>
      </w:r>
      <w:r>
        <w:rPr>
          <w:rFonts w:ascii="Arial" w:hAnsi="Arial"/>
          <w:b w:val="0"/>
          <w:i/>
          <w:sz w:val="28"/>
        </w:rPr>
        <w:t>«por el excedente se pagará el impuesto en los términos de este Título»</w:t>
      </w:r>
      <w:r>
        <w:rPr>
          <w:rFonts w:ascii="Arial" w:hAnsi="Arial"/>
          <w:b w:val="0"/>
          <w:i w:val="0"/>
          <w:sz w:val="28"/>
        </w:rPr>
        <w:t>.</w:t>
      </w:r>
    </w:p>
    <w:p>
      <w:pPr>
        <w:spacing w:line="360" w:lineRule="auto"/>
        <w:jc w:val="both"/>
      </w:pPr>
      <w:r>
        <w:rPr>
          <w:rFonts w:ascii="Arial" w:hAnsi="Arial"/>
          <w:b w:val="0"/>
          <w:i w:val="0"/>
          <w:sz w:val="28"/>
        </w:rPr>
        <w:t xml:space="preserve">El artículo 95, a su vez, dispone que cuando se obtengan ingresos por esos conceptos </w:t>
      </w:r>
      <w:r>
        <w:rPr>
          <w:rFonts w:ascii="Arial" w:hAnsi="Arial"/>
          <w:b w:val="0"/>
          <w:i/>
          <w:sz w:val="28"/>
        </w:rPr>
        <w:t>«se calculará el impuesto anual»</w:t>
      </w:r>
      <w:r>
        <w:rPr>
          <w:rFonts w:ascii="Arial" w:hAnsi="Arial"/>
          <w:b w:val="0"/>
          <w:i w:val="0"/>
          <w:sz w:val="28"/>
        </w:rPr>
        <w:t xml:space="preserve"> conforme a reglas propias: se separa una cantidad igual al último sueldo mensual ordinario, que se acumula a los demás ingresos, y al resto se le aplica la tasa efectiva que resultó de ese primer cálculo. La tarifa del artículo 152 interviene sólo para obtener esa tasa; no grava directamente el total de la percepción.</w:t>
      </w:r>
    </w:p>
    <w:p>
      <w:pPr>
        <w:spacing w:line="360" w:lineRule="auto"/>
        <w:jc w:val="both"/>
      </w:pPr>
      <w:r>
        <w:rPr>
          <w:rFonts w:ascii="Arial" w:hAnsi="Arial"/>
          <w:b w:val="0"/>
          <w:i w:val="0"/>
          <w:sz w:val="28"/>
        </w:rPr>
        <w:t>De ahí que lo decisivo sea determinar si el ingreso corresponde al producto del trabajo o si es una prestación derivada de la terminación del vínculo: la tarifa anual opera para la primera categoría; la exención y la tasa efectiva, para la segunda. Aplicar la tarifa a un ingreso por separación no es un error de cálculo, sino la aplicación de un precepto inaplicable a un hecho apreciado en forma equivocada.</w:t>
      </w:r>
    </w:p>
    <w:p>
      <w:pPr>
        <w:spacing w:line="360" w:lineRule="auto"/>
        <w:jc w:val="both"/>
      </w:pPr>
      <w:r>
        <w:rPr>
          <w:rFonts w:ascii="Arial" w:hAnsi="Arial"/>
          <w:b w:val="0"/>
          <w:i w:val="0"/>
          <w:sz w:val="28"/>
        </w:rPr>
        <w:t>Corresponde fijar la naturaleza de los salarios caídos. El artículo 123 de la Constitución, en su apartado A, fracción XXII, obliga al patrón que despide sin causa justificada, a elección del trabajador, a cumplir el contrato o a indemnizarlo, y en su apartado B reconoce a la persona servidora pública separada injustificadamente el derecho a optar por la reinstalación o por la indemnización, previo el procedimiento legal.</w:t>
      </w:r>
    </w:p>
    <w:p>
      <w:pPr>
        <w:spacing w:line="360" w:lineRule="auto"/>
        <w:jc w:val="both"/>
      </w:pPr>
      <w:r>
        <w:rPr>
          <w:rFonts w:ascii="Arial" w:hAnsi="Arial"/>
          <w:b w:val="0"/>
          <w:i w:val="0"/>
          <w:sz w:val="28"/>
        </w:rPr>
        <w:t>Los artículos 48 y 50 de la Ley Federal del Trabajo desarrollan ese sistema y, al enumerar las indemnizaciones, incluyen el pago de los salarios vencidos; el artículo 43, fracciones III y IV, de la Ley Federal de los Trabajadores al Servicio del Estado hace lo propio en el régimen burocrático.</w:t>
      </w:r>
    </w:p>
    <w:p>
      <w:pPr>
        <w:spacing w:line="360" w:lineRule="auto"/>
        <w:jc w:val="both"/>
      </w:pPr>
      <w:r>
        <w:rPr>
          <w:rFonts w:ascii="Arial" w:hAnsi="Arial"/>
          <w:b w:val="0"/>
          <w:i w:val="0"/>
          <w:sz w:val="28"/>
        </w:rPr>
        <w:t>La doctrina que sistematiza los criterios de la Suprema Corte sobre el derecho al trabajo describe la reparación del despido injustificado como reinstalación o indemnización, en ambos casos con la posibilidad del pago de salarios caídos.</w:t>
      </w:r>
      <w:r>
        <w:rPr>
          <w:rFonts w:ascii="Arial" w:hAnsi="Arial"/>
          <w:vertAlign w:val="superscript"/>
        </w:rPr>
        <w:t>2</w:t>
      </w:r>
      <w:r>
        <w:rPr>
          <w:rFonts w:ascii="Arial" w:hAnsi="Arial"/>
          <w:b w:val="0"/>
          <w:i w:val="0"/>
          <w:sz w:val="28"/>
        </w:rPr>
        <w:t xml:space="preserve"> Los salarios caídos son los que la persona trabajadora habría percibido si la relación se hubiera desarrollado normalmente desde la separación; su causa no es el trabajo, que no se prestó, sino la responsabilidad del patrón por una separación que el tribunal laboral declaró injustificada.</w:t>
      </w:r>
    </w:p>
    <w:p>
      <w:pPr>
        <w:spacing w:line="360" w:lineRule="auto"/>
        <w:jc w:val="both"/>
      </w:pPr>
      <w:r>
        <w:rPr>
          <w:rFonts w:ascii="Arial" w:hAnsi="Arial"/>
          <w:b w:val="0"/>
          <w:i w:val="0"/>
          <w:sz w:val="28"/>
        </w:rPr>
        <w:t>Nacen de una declaratoria jurisdiccional firme y presuponen, por definición, que hubo separación: sin ella no existiría el periodo de salarios no percibidos que la condena resarce. Para la Ley del Impuesto sobre la Renta, en consecuencia, los salarios caídos no se asimilan a los salarios ordinarios. Éstos retribuyen un servicio personal subordinado y se devengan conforme se presta; aquéllos son una medida resarcitoria y compensatoria vinculada a la terminación del vínculo, que se percibe, y por la que se causa el impuesto, hasta que se cumple la resolución que los ordena.</w:t>
      </w:r>
    </w:p>
    <w:p>
      <w:pPr>
        <w:spacing w:line="360" w:lineRule="auto"/>
        <w:jc w:val="both"/>
      </w:pPr>
      <w:r>
        <w:rPr>
          <w:rFonts w:ascii="Arial" w:hAnsi="Arial"/>
          <w:b w:val="0"/>
          <w:i w:val="0"/>
          <w:sz w:val="28"/>
        </w:rPr>
        <w:t xml:space="preserve">Se ubican, por tanto, en los </w:t>
      </w:r>
      <w:r>
        <w:rPr>
          <w:rFonts w:ascii="Arial" w:hAnsi="Arial"/>
          <w:b w:val="0"/>
          <w:i/>
          <w:sz w:val="28"/>
        </w:rPr>
        <w:t>«otros pagos»</w:t>
      </w:r>
      <w:r>
        <w:rPr>
          <w:rFonts w:ascii="Arial" w:hAnsi="Arial"/>
          <w:b w:val="0"/>
          <w:i w:val="0"/>
          <w:sz w:val="28"/>
        </w:rPr>
        <w:t xml:space="preserve"> por separación de los artículos 93, fracción XIII, y 95, como lo ha reconocido la Sala en casos análogos.</w:t>
      </w:r>
    </w:p>
    <w:p>
      <w:pPr>
        <w:spacing w:line="360" w:lineRule="auto"/>
        <w:jc w:val="both"/>
      </w:pPr>
      <w:r>
        <w:rPr>
          <w:rFonts w:ascii="Arial" w:hAnsi="Arial"/>
          <w:b w:val="0"/>
          <w:i w:val="0"/>
          <w:sz w:val="28"/>
        </w:rPr>
        <w:t>Esta lectura es la única compatible con el principio de proporcionalidad tributaria. La doctrina define la capacidad contributiva como una aptitud real de pago de contribuciones y la considera, unida a la igualdad tributaria, el núcleo básico de los derechos humanos de la persona contribuyente.</w:t>
      </w:r>
      <w:r>
        <w:rPr>
          <w:rFonts w:ascii="Arial" w:hAnsi="Arial"/>
          <w:vertAlign w:val="superscript"/>
        </w:rPr>
        <w:t>3</w:t>
      </w:r>
      <w:r>
        <w:rPr>
          <w:rFonts w:ascii="Arial" w:hAnsi="Arial"/>
          <w:b w:val="0"/>
          <w:i w:val="0"/>
          <w:sz w:val="28"/>
        </w:rPr>
        <w:t xml:space="preserve"> Una aptitud real se mide sobre la riqueza efectiva y no sobre su apariencia: quien recibe en un solo ejercicio el equivalente a varios años de salarios que dejó de percibir por un despido injustificado no revela la misma capacidad que quien cobra ese salario mes a mes.</w:t>
      </w:r>
    </w:p>
    <w:p>
      <w:pPr>
        <w:spacing w:line="360" w:lineRule="auto"/>
        <w:jc w:val="both"/>
      </w:pPr>
      <w:r>
        <w:rPr>
          <w:rFonts w:ascii="Arial" w:hAnsi="Arial"/>
          <w:b w:val="0"/>
          <w:i w:val="0"/>
          <w:sz w:val="28"/>
        </w:rPr>
        <w:t>El legislador previó esa distorsión y la corrigió con la exención por años de servicio y con la tasa efectiva del artículo 95.</w:t>
      </w:r>
    </w:p>
    <w:p>
      <w:pPr>
        <w:spacing w:line="360" w:lineRule="auto"/>
        <w:jc w:val="both"/>
      </w:pPr>
      <w:r>
        <w:rPr>
          <w:rFonts w:ascii="Arial" w:hAnsi="Arial"/>
          <w:b w:val="0"/>
          <w:i w:val="0"/>
          <w:sz w:val="28"/>
        </w:rPr>
        <w:t xml:space="preserve">Resta el deber de la autoridad en las devoluciones. El artículo 22 del Código Fiscal de la Federación ordena devolver las cantidades pagadas indebidamente y las que procedan conforme a las leyes fiscales, precisa que </w:t>
      </w:r>
      <w:r>
        <w:rPr>
          <w:rFonts w:ascii="Arial" w:hAnsi="Arial"/>
          <w:b w:val="0"/>
          <w:i/>
          <w:sz w:val="28"/>
        </w:rPr>
        <w:t>«en el caso de contribuciones que se hubieran retenido, la devolución se efectuará a los contribuyentes a quienes se les hubiera retenido la contribución de que se trate»</w:t>
      </w:r>
      <w:r>
        <w:rPr>
          <w:rFonts w:ascii="Arial" w:hAnsi="Arial"/>
          <w:b w:val="0"/>
          <w:i w:val="0"/>
          <w:sz w:val="28"/>
        </w:rPr>
        <w:t xml:space="preserve">, y dispone que </w:t>
      </w:r>
      <w:r>
        <w:rPr>
          <w:rFonts w:ascii="Arial" w:hAnsi="Arial"/>
          <w:b w:val="0"/>
          <w:i/>
          <w:sz w:val="28"/>
        </w:rPr>
        <w:t>«las autoridades fiscales deberán fundar y motivar las causas que sustentan la negativa parcial o total de la devolución respectiva»</w:t>
      </w:r>
      <w:r>
        <w:rPr>
          <w:rFonts w:ascii="Arial" w:hAnsi="Arial"/>
          <w:b w:val="0"/>
          <w:i w:val="0"/>
          <w:sz w:val="28"/>
        </w:rPr>
        <w:t>.</w:t>
      </w:r>
    </w:p>
    <w:p>
      <w:pPr>
        <w:spacing w:line="360" w:lineRule="auto"/>
        <w:jc w:val="both"/>
      </w:pPr>
      <w:r>
        <w:rPr>
          <w:rFonts w:ascii="Arial" w:hAnsi="Arial"/>
          <w:b/>
          <w:sz w:val="28"/>
        </w:rPr>
        <w:t>IV. Aplicación al caso concreto y refutación de la motivación de la autoridad.</w:t>
      </w:r>
    </w:p>
    <w:p>
      <w:pPr>
        <w:spacing w:line="360" w:lineRule="auto"/>
        <w:jc w:val="both"/>
      </w:pPr>
      <w:r>
        <w:rPr>
          <w:rFonts w:ascii="Arial" w:hAnsi="Arial"/>
          <w:b w:val="0"/>
          <w:i w:val="0"/>
          <w:sz w:val="28"/>
        </w:rPr>
        <w:t xml:space="preserve">Los hechos encuadran en la premisa expuesta. La parte actora promovió juicio laboral ante </w:t>
      </w:r>
      <w:r>
        <w:rPr>
          <w:rFonts w:ascii="Arial" w:hAnsi="Arial"/>
          <w:b/>
          <w:i w:val="0"/>
          <w:sz w:val="28"/>
        </w:rPr>
        <w:t>[ÓRGANO JURISDICCIONAL LABORAL]</w:t>
      </w:r>
      <w:r>
        <w:rPr>
          <w:rFonts w:ascii="Arial" w:hAnsi="Arial"/>
          <w:b w:val="0"/>
          <w:i w:val="0"/>
          <w:sz w:val="28"/>
        </w:rPr>
        <w:t xml:space="preserve">, expediente </w:t>
      </w:r>
      <w:r>
        <w:rPr>
          <w:rFonts w:ascii="Arial" w:hAnsi="Arial"/>
          <w:b/>
          <w:i w:val="0"/>
          <w:sz w:val="28"/>
        </w:rPr>
        <w:t>[NÚMERO DEL EXPEDIENTE LABORAL]</w:t>
      </w:r>
      <w:r>
        <w:rPr>
          <w:rFonts w:ascii="Arial" w:hAnsi="Arial"/>
          <w:b w:val="0"/>
          <w:i w:val="0"/>
          <w:sz w:val="28"/>
        </w:rPr>
        <w:t xml:space="preserve">, contra </w:t>
      </w:r>
      <w:r>
        <w:rPr>
          <w:rFonts w:ascii="Arial" w:hAnsi="Arial"/>
          <w:b/>
          <w:i w:val="0"/>
          <w:sz w:val="28"/>
        </w:rPr>
        <w:t>[NOMBRE DEL PATRÓN O DEPENDENCIA RETENEDORA]</w:t>
      </w:r>
      <w:r>
        <w:rPr>
          <w:rFonts w:ascii="Arial" w:hAnsi="Arial"/>
          <w:b w:val="0"/>
          <w:i w:val="0"/>
          <w:sz w:val="28"/>
        </w:rPr>
        <w:t xml:space="preserve">; el laudo de </w:t>
      </w:r>
      <w:r>
        <w:rPr>
          <w:rFonts w:ascii="Arial" w:hAnsi="Arial"/>
          <w:b/>
          <w:i w:val="0"/>
          <w:sz w:val="28"/>
        </w:rPr>
        <w:t>[FECHA DEL LAUDO O SENTENCIA LABORAL]</w:t>
      </w:r>
      <w:r>
        <w:rPr>
          <w:rFonts w:ascii="Arial" w:hAnsi="Arial"/>
          <w:b w:val="0"/>
          <w:i w:val="0"/>
          <w:sz w:val="28"/>
        </w:rPr>
        <w:t>, firme, declaró injustificada la separación y condenó al pago de salarios caídos desde la fecha de la separación hasta la reinstalación.</w:t>
      </w:r>
    </w:p>
    <w:p>
      <w:pPr>
        <w:spacing w:line="360" w:lineRule="auto"/>
        <w:jc w:val="both"/>
      </w:pPr>
      <w:r>
        <w:rPr>
          <w:rFonts w:ascii="Arial" w:hAnsi="Arial"/>
          <w:b w:val="0"/>
          <w:i w:val="0"/>
          <w:sz w:val="28"/>
        </w:rPr>
        <w:t xml:space="preserve">En la diligencia de </w:t>
      </w:r>
      <w:r>
        <w:rPr>
          <w:rFonts w:ascii="Arial" w:hAnsi="Arial"/>
          <w:b/>
          <w:i w:val="0"/>
          <w:sz w:val="28"/>
        </w:rPr>
        <w:t>[FECHA DE LA DILIGENCIA DE PAGO]</w:t>
      </w:r>
      <w:r>
        <w:rPr>
          <w:rFonts w:ascii="Arial" w:hAnsi="Arial"/>
          <w:b w:val="0"/>
          <w:i w:val="0"/>
          <w:sz w:val="28"/>
        </w:rPr>
        <w:t xml:space="preserve">, dentro del mismo expediente, la parte condenada exhibió el pago de </w:t>
      </w:r>
      <w:r>
        <w:rPr>
          <w:rFonts w:ascii="Arial" w:hAnsi="Arial"/>
          <w:b/>
          <w:i w:val="0"/>
          <w:sz w:val="28"/>
        </w:rPr>
        <w:t>[MONTO PAGADO POR SALARIOS CAÍDOS]</w:t>
      </w:r>
      <w:r>
        <w:rPr>
          <w:rFonts w:ascii="Arial" w:hAnsi="Arial"/>
          <w:b w:val="0"/>
          <w:i w:val="0"/>
          <w:sz w:val="28"/>
        </w:rPr>
        <w:t xml:space="preserve"> por ese concepto, previa retención del impuesto calculado como si se tratara de salarios del periodo. El retenedor timbró esa cantidad en los comprobantes de nómina del ejercicio </w:t>
      </w:r>
      <w:r>
        <w:rPr>
          <w:rFonts w:ascii="Arial" w:hAnsi="Arial"/>
          <w:b/>
          <w:i w:val="0"/>
          <w:sz w:val="28"/>
        </w:rPr>
        <w:t>[EJERCICIO FISCAL DEL SALDO A FAVOR]</w:t>
      </w:r>
      <w:r>
        <w:rPr>
          <w:rFonts w:ascii="Arial" w:hAnsi="Arial"/>
          <w:b w:val="0"/>
          <w:i w:val="0"/>
          <w:sz w:val="28"/>
        </w:rPr>
        <w:t xml:space="preserve"> con la clave de sueldos y salarios, sin emitir comprobante alguno por indemnización u otros pagos por separación.</w:t>
      </w:r>
    </w:p>
    <w:p>
      <w:pPr>
        <w:spacing w:line="360" w:lineRule="auto"/>
        <w:jc w:val="both"/>
      </w:pPr>
      <w:r>
        <w:rPr>
          <w:rFonts w:ascii="Arial" w:hAnsi="Arial"/>
          <w:b w:val="0"/>
          <w:i w:val="0"/>
          <w:sz w:val="28"/>
        </w:rPr>
        <w:t xml:space="preserve">La parte actora declaró aplicando a esa suma la mecánica de los artículos 93, fracción XIII, y 95, obtuvo un saldo a favor de </w:t>
      </w:r>
      <w:r>
        <w:rPr>
          <w:rFonts w:ascii="Arial" w:hAnsi="Arial"/>
          <w:b/>
          <w:i w:val="0"/>
          <w:sz w:val="28"/>
        </w:rPr>
        <w:t>[MONTO SOLICITADO EN DEVOLUCIÓN]</w:t>
      </w:r>
      <w:r>
        <w:rPr>
          <w:rFonts w:ascii="Arial" w:hAnsi="Arial"/>
          <w:b w:val="0"/>
          <w:i w:val="0"/>
          <w:sz w:val="28"/>
        </w:rPr>
        <w:t xml:space="preserve"> y pidió su devolución. La autoridad advirtió la discrepancia entre lo declarado y lo timbrado, prefirió los datos del retenedor con apoyo en el artículo 99, fracción III, de la ley y autorizó sólo la parte que resulta de aplicar la tarifa del artículo 152.</w:t>
      </w:r>
    </w:p>
    <w:p>
      <w:pPr>
        <w:spacing w:line="360" w:lineRule="auto"/>
        <w:jc w:val="both"/>
      </w:pPr>
      <w:r>
        <w:rPr>
          <w:rFonts w:ascii="Arial" w:hAnsi="Arial"/>
          <w:b w:val="0"/>
          <w:i w:val="0"/>
          <w:sz w:val="28"/>
        </w:rPr>
        <w:t>Con la demanda se ofrecen el laudo y el acta de la diligencia de pago, documentales públicas con valor probatorio pleno conforme al artículo 46, fracción I, de la Ley Federal de Procedimiento Contencioso Administrativo, en relación con los artículos 129 y 202 del Código Federal de Procedimientos Civiles; la constancia de antigüedad que acredita los años de servicio, necesaria para cuantificar la exención; y los comprobantes de nómina con la clasificación errónea del retenedor. La autoridad tuvo esas pruebas a la vista en el recurso de revocación.</w:t>
      </w:r>
    </w:p>
    <w:p>
      <w:pPr>
        <w:spacing w:line="360" w:lineRule="auto"/>
        <w:jc w:val="both"/>
      </w:pPr>
      <w:r>
        <w:rPr>
          <w:rFonts w:ascii="Arial" w:hAnsi="Arial"/>
          <w:b w:val="0"/>
          <w:i w:val="0"/>
          <w:sz w:val="28"/>
        </w:rPr>
        <w:t>La subsunción es directa. La cantidad controvertida se pagó en cumplimiento de una condena por separación injustificada; es, por tanto, una prestación percibida como consecuencia de la terminación de la relación laboral, comprendida en los artículos 94, 93, fracción XIII, y 95 de la Ley del Impuesto sobre la Renta. La autoridad la trató como salario del periodo y le aplicó el artículo 152. Apreció los hechos en forma equivocada y aplicó un precepto inaplicable: se actualiza la causal del artículo 51, fracción IV, de la Ley Federal de Procedimiento Contencioso Administrativo.</w:t>
      </w:r>
    </w:p>
    <w:p>
      <w:pPr>
        <w:spacing w:line="360" w:lineRule="auto"/>
        <w:jc w:val="both"/>
      </w:pPr>
      <w:r>
        <w:rPr>
          <w:rFonts w:ascii="Arial" w:hAnsi="Arial"/>
          <w:b w:val="0"/>
          <w:i w:val="0"/>
          <w:sz w:val="28"/>
        </w:rPr>
        <w:t>Frente a ello, la autoridad sostiene que, como el laudo también ordenó la reinstalación, no hubo ruptura de la relación laboral y, por tanto, la cantidad pagada no es una indemnización ni goza de la exención. Ese razonamiento incurre en la falacia de falsa disyunción, que se produce cuando los términos de la alternativa no son exhaustivos ni excluyentes.</w:t>
      </w:r>
      <w:r>
        <w:rPr>
          <w:rFonts w:ascii="Arial" w:hAnsi="Arial"/>
          <w:vertAlign w:val="superscript"/>
        </w:rPr>
        <w:t>4</w:t>
      </w:r>
    </w:p>
    <w:p>
      <w:pPr>
        <w:spacing w:line="360" w:lineRule="auto"/>
        <w:jc w:val="both"/>
      </w:pPr>
      <w:r>
        <w:rPr>
          <w:rFonts w:ascii="Arial" w:hAnsi="Arial"/>
          <w:b w:val="0"/>
          <w:i w:val="0"/>
          <w:sz w:val="28"/>
        </w:rPr>
        <w:t>La autoridad presenta reinstalación e indemnización como opciones que se excluyen respecto de los salarios caídos, cuando la ley laboral los prevé como consecuencia de ambas acciones: el artículo 50, fracción III, de la Ley Federal del Trabajo los enumera junto a la indemnización y remite, para su pago, al artículo 48, que es precisamente el precepto que regula la opción entre reinstalación e indemnización. La reinstalación repara hacia el futuro, devolviendo el empleo; los salarios caídos resarcen el pasado, el lapso en que la persona estuvo separada sin percibir salario por causa que no le es imputable.</w:t>
      </w:r>
    </w:p>
    <w:p>
      <w:pPr>
        <w:spacing w:line="360" w:lineRule="auto"/>
        <w:jc w:val="both"/>
      </w:pPr>
      <w:r>
        <w:rPr>
          <w:rFonts w:ascii="Arial" w:hAnsi="Arial"/>
          <w:b w:val="0"/>
          <w:i w:val="0"/>
          <w:sz w:val="28"/>
        </w:rPr>
        <w:t>Lejos de excluir la separación, la condena a salarios caídos la presupone: si el vínculo nunca se hubiera roto, no habría un solo día de salario vencido que pagar. Que la relación se reanude después no transforma en retribución de trabajo lo que se pagó por trabajo que no se prestó. Y que los salarios vencidos operen como sanción al patrón no les resta, frente a la persona trabajadora, su carácter resarcitorio, como lo ha reconocido la Sala en casos análogos.</w:t>
      </w:r>
    </w:p>
    <w:p>
      <w:pPr>
        <w:spacing w:line="360" w:lineRule="auto"/>
        <w:jc w:val="both"/>
      </w:pPr>
      <w:r>
        <w:rPr>
          <w:rFonts w:ascii="Arial" w:hAnsi="Arial"/>
          <w:b w:val="0"/>
          <w:i w:val="0"/>
          <w:sz w:val="28"/>
        </w:rPr>
        <w:t>En segundo lugar, la preferencia por los datos del retenedor es una petición de principio, que consiste en demostrar por sí mismo lo que no está claro ni es conocido por sí mismo, esto es, en no demostrar.</w:t>
      </w:r>
      <w:r>
        <w:rPr>
          <w:rFonts w:ascii="Arial" w:hAnsi="Arial"/>
          <w:vertAlign w:val="superscript"/>
        </w:rPr>
        <w:t>5</w:t>
      </w:r>
      <w:r>
        <w:rPr>
          <w:rFonts w:ascii="Arial" w:hAnsi="Arial"/>
          <w:b w:val="0"/>
          <w:i w:val="0"/>
          <w:sz w:val="28"/>
        </w:rPr>
        <w:t xml:space="preserve"> La cuestión a resolver era si la clasificación del comprobante de nómina es correcta; la autoridad la resolvió dando por buena esa clasificación, es decir, tomando como premisa lo que debía probar.</w:t>
      </w:r>
    </w:p>
    <w:p>
      <w:pPr>
        <w:spacing w:line="360" w:lineRule="auto"/>
        <w:jc w:val="both"/>
      </w:pPr>
      <w:r>
        <w:rPr>
          <w:rFonts w:ascii="Arial" w:hAnsi="Arial"/>
          <w:b w:val="0"/>
          <w:i w:val="0"/>
          <w:sz w:val="28"/>
        </w:rPr>
        <w:t>Lo que sirve de prueba en un argumento debe ser más claro y conocido que aquello que se quiere probar.</w:t>
      </w:r>
      <w:r>
        <w:rPr>
          <w:rFonts w:ascii="Arial" w:hAnsi="Arial"/>
          <w:vertAlign w:val="superscript"/>
        </w:rPr>
        <w:t>6</w:t>
      </w:r>
      <w:r>
        <w:rPr>
          <w:rFonts w:ascii="Arial" w:hAnsi="Arial"/>
          <w:b w:val="0"/>
          <w:i w:val="0"/>
          <w:sz w:val="28"/>
        </w:rPr>
        <w:t xml:space="preserve"> Un laudo firme y un acta de pago dictada en ejecución son más claros sobre el origen de la cantidad que una clave elegida por el patrón condenado al llenar la nómina.</w:t>
      </w:r>
    </w:p>
    <w:p>
      <w:pPr>
        <w:spacing w:line="360" w:lineRule="auto"/>
        <w:jc w:val="both"/>
      </w:pPr>
      <w:r>
        <w:rPr>
          <w:rFonts w:ascii="Arial" w:hAnsi="Arial"/>
          <w:b w:val="0"/>
          <w:i w:val="0"/>
          <w:sz w:val="28"/>
        </w:rPr>
        <w:t>El artículo 99, fracción III, de la Ley del Impuesto sobre la Renta impone al retenedor el deber de expedir comprobantes; no convierte su contenido en calificación legal del ingreso. El artículo 63 del Código Fiscal de la Federación permite motivar con la información de los expedientes de la autoridad, pero no la exime de valorar las pruebas del particular ni de fundar y motivar la negativa parcial, como exige el artículo 22. La autoridad debía explicar por qué un pago ordenado como salarios caídos es, para la ley fiscal, salario ordinario; sustituyó esa explicación por la etiqueta del comprobante.</w:t>
      </w:r>
    </w:p>
    <w:p>
      <w:pPr>
        <w:spacing w:line="360" w:lineRule="auto"/>
        <w:jc w:val="both"/>
      </w:pPr>
      <w:r>
        <w:rPr>
          <w:rFonts w:ascii="Arial" w:hAnsi="Arial"/>
          <w:b w:val="0"/>
          <w:i w:val="0"/>
          <w:sz w:val="28"/>
        </w:rPr>
        <w:t>La consecuencia sistémica de aceptar la postura de la autoridad revela el error. Si la clave del comprobante decidiera la naturaleza del ingreso, la exención quedaría en manos del patrón que perdió el juicio, y bastaría timbrar la indemnización como sueldo para gravarla íntegra con la tarifa progresiva. La ley sujetó la exención a la naturaleza del pago y a los años de servicio, datos que aquí constan en documentos públicos.</w:t>
      </w:r>
    </w:p>
    <w:p>
      <w:pPr>
        <w:spacing w:line="360" w:lineRule="auto"/>
        <w:jc w:val="both"/>
      </w:pPr>
      <w:r>
        <w:rPr>
          <w:rFonts w:ascii="Arial" w:hAnsi="Arial"/>
          <w:b w:val="0"/>
          <w:i w:val="0"/>
          <w:sz w:val="28"/>
        </w:rPr>
        <w:t>Debe precisarse que no se pretende que la cantidad quede exenta en su totalidad: la exención opera hasta noventa veces el salario mínimo general del área geográfica por cada año de servicio, y el excedente tributa conforme al artículo 95, con la separación del último sueldo mensual ordinario y la tasa efectiva que ese precepto describe. Lo que se reclama es que se aplique esa mecánica y no la tarifa del artículo 152.</w:t>
      </w:r>
    </w:p>
    <w:p>
      <w:pPr>
        <w:spacing w:line="360" w:lineRule="auto"/>
        <w:jc w:val="both"/>
      </w:pPr>
      <w:r>
        <w:rPr>
          <w:rFonts w:ascii="Arial" w:hAnsi="Arial"/>
          <w:b w:val="0"/>
          <w:i w:val="0"/>
          <w:sz w:val="28"/>
        </w:rPr>
        <w:t>Finalmente, la resolución impugnada no puede subsistir con independencia de la recurrida. Al confirmarla sin examinar el laudo ni la diligencia de pago, y al reproducir la falsa disyunción entre reinstalación e indemnización, hizo suyo el vicio de origen; un acto que se limita a convalidar otro viciado carece, a su vez, de la fundamentación y motivación que exigen el artículo 16 constitucional y el artículo 38, fracción IV, del Código Fiscal de la Federación, como lo ha reconocido la Sala en casos análogos.</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la Ley del Impuesto sobre la Renta distingue los salarios de las prestaciones percibidas por la terminación de la relación laboral, y somete a estas últimas a la exención del artículo 93, fracción XIII, y a la mecánica del artículo 95; los salarios caídos pagados en cumplimiento de un laudo firme pertenecen a esa segunda categoría, porque resarcen una separación injustificada y no retribuyen trabajo prestado; la condena a reinstalación no cambia esa naturaleza; y la clave del comprobante de nómina no sustituye la calificación legal del ingreso.</w:t>
      </w:r>
    </w:p>
    <w:p>
      <w:pPr>
        <w:spacing w:line="360" w:lineRule="auto"/>
        <w:jc w:val="both"/>
      </w:pPr>
      <w:r>
        <w:rPr>
          <w:rFonts w:ascii="Arial" w:hAnsi="Arial"/>
          <w:b w:val="0"/>
          <w:i w:val="0"/>
          <w:sz w:val="28"/>
        </w:rPr>
        <w:t xml:space="preserve">Por lo expuesto, procede declarar fundado el presente concepto de impugnación y decretar la nulidad de la resolución recurrida, con fundamento en los artículos 51, fracción IV, y 52, fracción IV, de la Ley Federal de Procedimiento Contencioso Administrativo, para el efecto de que la autoridad, dentro del plazo que fija el artículo 52, segundo párrafo, de esa ley, emita una nueva resolución en la que aplique a la cantidad de </w:t>
      </w:r>
      <w:r>
        <w:rPr>
          <w:rFonts w:ascii="Arial" w:hAnsi="Arial"/>
          <w:b/>
          <w:i w:val="0"/>
          <w:sz w:val="28"/>
        </w:rPr>
        <w:t>[MONTO PAGADO POR SALARIOS CAÍDOS]</w:t>
      </w:r>
      <w:r>
        <w:rPr>
          <w:rFonts w:ascii="Arial" w:hAnsi="Arial"/>
          <w:b w:val="0"/>
          <w:i w:val="0"/>
          <w:sz w:val="28"/>
        </w:rPr>
        <w:t xml:space="preserve"> la mecánica de los artículos 93, fracción XIII, y 95 de la Ley del Impuesto sobre la Renta y determine el saldo a favor que resulte.</w:t>
      </w:r>
    </w:p>
    <w:p>
      <w:pPr>
        <w:spacing w:line="360" w:lineRule="auto"/>
        <w:jc w:val="both"/>
      </w:pPr>
      <w:r>
        <w:rPr>
          <w:rFonts w:ascii="Arial" w:hAnsi="Arial"/>
          <w:b w:val="0"/>
          <w:i w:val="0"/>
          <w:sz w:val="28"/>
        </w:rPr>
        <w:t>Esa devolución deberá entregarse actualizada conforme a los artículos 17-A y 22 del Código Fiscal de la Federación, con los intereses del artículo 22-A del mismo Código desde que la devolución debió efectuarse. Procede asimismo declarar la nulidad lisa y llana de la resolución recaída al recurso de revocación, con fundamento en los artículos 51, fracción IV, y 52, fracción II, de la misma ley, por haber confirmado un acto indebidamente fundado y motivado sin subsanar su vicio.</w:t>
      </w:r>
    </w:p>
    <w:p>
      <w:pPr>
        <w:spacing w:line="360" w:lineRule="auto"/>
        <w:jc w:val="both"/>
      </w:pPr>
      <w:r>
        <w:rPr>
          <w:rFonts w:ascii="Arial" w:hAnsi="Arial"/>
          <w:b w:val="0"/>
          <w:i w:val="0"/>
          <w:sz w:val="28"/>
        </w:rPr>
        <w:t>Si la Sala estima contar con los elementos necesarios, se solicita que, con apoyo en los artículos 50 y 52 de la Ley Federal de Procedimiento Contencioso Administrativo, reconozca el derecho subjetivo de la parte actora a la devolución en la cuantía que resulte de la mecánica correcta.</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 p. 389.</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851.</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969.</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35.</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GARCÍA DAMBORENEA, op. cit.</w:t>
      </w:r>
      <w:r>
        <w:rPr>
          <w:rFonts w:ascii="Arial" w:hAnsi="Arial"/>
          <w:i w:val="0"/>
          <w:sz w:val="20"/>
        </w:rPr>
        <w:t>, p. 73.</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76.</w:t>
      </w:r>
    </w:p>
    <w:p/>
    <w:p>
      <w:r>
        <w:rPr>
          <w:rFonts w:ascii="Arial" w:hAnsi="Arial"/>
          <w:b/>
          <w:sz w:val="22"/>
        </w:rPr>
        <w:t>BIBLIOGRAFÍA</w:t>
      </w:r>
    </w:p>
    <w:p>
      <w:pPr>
        <w:spacing w:after="60"/>
        <w:ind w:left="360" w:hanging="360"/>
        <w:jc w:val="both"/>
      </w:pP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