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INCREMENTOS DE LA PENSIÓN ISSSTE POR INCAPACIDAD PARCIAL PERMANENTE</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Primero ubica la fecha de otorgamiento de la pensión: el machote trae dos versiones del párrafo del artículo 57 que ordena el aumento (pensiones otorgadas del 5 de enero de 1993 al 31 de diciembre de 2001 y del 1 de enero de 2002 al 31 de marzo de 2007); conserva la que corresponda y borra la otra, y elimina también el párrafo de la UMA si la pensión no está referida al salario mínimo. Si la pensión se otorgó antes del 5 de enero de 1993, coteja el texto que regía entonces antes de usar el machote.</w:t>
      </w:r>
    </w:p>
    <w:p>
      <w:pPr>
        <w:spacing w:line="360" w:lineRule="auto"/>
        <w:jc w:val="both"/>
      </w:pPr>
      <w:r>
        <w:rPr>
          <w:rFonts w:ascii="Arial" w:hAnsi="Arial"/>
          <w:b w:val="0"/>
          <w:i w:val="0"/>
          <w:sz w:val="24"/>
        </w:rPr>
        <w:t>Coteja el artículo 40 de la ley abrogada en el texto vigente a la fecha de otorgamiento, porque el machote parafrasea el que rigió de 2002 a 2007. Determina la vía antes de presentar: la demanda se presenta en treinta días tanto en la vía ordinaria (artículo 13, fracción I, de la Ley Federal de Procedimiento Contencioso Administrativo) como en la sumaria (artículo 58-2, párrafo tercero, de la misma ley). Acompaña la resolución impugnada, el acuse de la solicitud y los documentos que acreditan la pensión.</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con que el ISSSTE negó el incremento.</w:t>
      </w:r>
    </w:p>
    <w:p>
      <w:pPr>
        <w:spacing w:line="360" w:lineRule="auto"/>
        <w:jc w:val="both"/>
      </w:pPr>
      <w:r>
        <w:rPr>
          <w:rFonts w:ascii="Arial" w:hAnsi="Arial"/>
          <w:b/>
          <w:i w:val="0"/>
          <w:sz w:val="24"/>
        </w:rPr>
        <w:t>[FECHA DE LA RESOLUCIÓN IMPUGNADA]</w:t>
      </w:r>
      <w:r>
        <w:rPr>
          <w:rFonts w:ascii="Arial" w:hAnsi="Arial"/>
          <w:b w:val="0"/>
          <w:i w:val="0"/>
          <w:sz w:val="24"/>
        </w:rPr>
        <w:t>: la fecha que lleva ese oficio.</w:t>
      </w:r>
    </w:p>
    <w:p>
      <w:pPr>
        <w:spacing w:line="360" w:lineRule="auto"/>
        <w:jc w:val="both"/>
      </w:pPr>
      <w:r>
        <w:rPr>
          <w:rFonts w:ascii="Arial" w:hAnsi="Arial"/>
          <w:b/>
          <w:i w:val="0"/>
          <w:sz w:val="24"/>
        </w:rPr>
        <w:t>[AUTORIDAD DEMANDADA]</w:t>
      </w:r>
      <w:r>
        <w:rPr>
          <w:rFonts w:ascii="Arial" w:hAnsi="Arial"/>
          <w:b w:val="0"/>
          <w:i w:val="0"/>
          <w:sz w:val="24"/>
        </w:rPr>
        <w:t>: la unidad administrativa del Instituto que firmó la negativa, con su denominación completa.</w:t>
      </w:r>
    </w:p>
    <w:p>
      <w:pPr>
        <w:spacing w:line="360" w:lineRule="auto"/>
        <w:jc w:val="both"/>
      </w:pPr>
      <w:r>
        <w:rPr>
          <w:rFonts w:ascii="Arial" w:hAnsi="Arial"/>
          <w:b/>
          <w:i w:val="0"/>
          <w:sz w:val="24"/>
        </w:rPr>
        <w:t>[NOMBRE DE LA PARTE ACTORA]</w:t>
      </w:r>
      <w:r>
        <w:rPr>
          <w:rFonts w:ascii="Arial" w:hAnsi="Arial"/>
          <w:b w:val="0"/>
          <w:i w:val="0"/>
          <w:sz w:val="24"/>
        </w:rPr>
        <w:t>: el nombre de la persona pensionada.</w:t>
      </w:r>
    </w:p>
    <w:p>
      <w:pPr>
        <w:spacing w:line="360" w:lineRule="auto"/>
        <w:jc w:val="both"/>
      </w:pPr>
      <w:r>
        <w:rPr>
          <w:rFonts w:ascii="Arial" w:hAnsi="Arial"/>
          <w:b/>
          <w:i w:val="0"/>
          <w:sz w:val="24"/>
        </w:rPr>
        <w:t>[FECHA DE LA SOLICITUD DE INCREMENTO]</w:t>
      </w:r>
      <w:r>
        <w:rPr>
          <w:rFonts w:ascii="Arial" w:hAnsi="Arial"/>
          <w:b w:val="0"/>
          <w:i w:val="0"/>
          <w:sz w:val="24"/>
        </w:rPr>
        <w:t>: la fecha en que se presentó ante el Instituto la petición de ajuste, según el acuse.</w:t>
      </w:r>
    </w:p>
    <w:p>
      <w:pPr>
        <w:spacing w:line="360" w:lineRule="auto"/>
        <w:jc w:val="both"/>
      </w:pPr>
      <w:r>
        <w:rPr>
          <w:rFonts w:ascii="Arial" w:hAnsi="Arial"/>
          <w:b/>
          <w:i w:val="0"/>
          <w:sz w:val="24"/>
        </w:rPr>
        <w:t>[FECHA DE INICIO DE LA PENSIÓN]</w:t>
      </w:r>
      <w:r>
        <w:rPr>
          <w:rFonts w:ascii="Arial" w:hAnsi="Arial"/>
          <w:b w:val="0"/>
          <w:i w:val="0"/>
          <w:sz w:val="24"/>
        </w:rPr>
        <w:t>: la fecha a partir de la cual se otorgó la pensión; de ella depende qué texto del artículo 57 se conserva.</w:t>
      </w:r>
    </w:p>
    <w:p>
      <w:pPr>
        <w:spacing w:line="360" w:lineRule="auto"/>
        <w:jc w:val="both"/>
      </w:pPr>
      <w:r>
        <w:rPr>
          <w:rFonts w:ascii="Arial" w:hAnsi="Arial"/>
          <w:b/>
          <w:i w:val="0"/>
          <w:sz w:val="24"/>
        </w:rPr>
        <w:t>[DOCUMENTOS QUE ACREDITAN LA PENSIÓN]</w:t>
      </w:r>
      <w:r>
        <w:rPr>
          <w:rFonts w:ascii="Arial" w:hAnsi="Arial"/>
          <w:b w:val="0"/>
          <w:i w:val="0"/>
          <w:sz w:val="24"/>
        </w:rPr>
        <w:t>: la concesión de pensión, la hoja única de servicios o los comprobantes de pago que exhibes.</w:t>
      </w:r>
    </w:p>
    <w:p>
      <w:pPr>
        <w:spacing w:line="360" w:lineRule="auto"/>
        <w:jc w:val="both"/>
      </w:pPr>
      <w:r>
        <w:rPr>
          <w:rFonts w:ascii="Arial" w:hAnsi="Arial"/>
          <w:b/>
          <w:i w:val="0"/>
          <w:sz w:val="24"/>
        </w:rPr>
        <w:t>[TRANSCRIPCIÓN DEL MOTIVO DE LA NEGATIVA]</w:t>
      </w:r>
      <w:r>
        <w:rPr>
          <w:rFonts w:ascii="Arial" w:hAnsi="Arial"/>
          <w:b w:val="0"/>
          <w:i w:val="0"/>
          <w:sz w:val="24"/>
        </w:rPr>
        <w:t>: el párrafo literal del oficio en que la autoridad explica por qué niega el incremento.</w:t>
      </w:r>
    </w:p>
    <w:p>
      <w:pPr>
        <w:spacing w:line="360" w:lineRule="auto"/>
        <w:jc w:val="both"/>
      </w:pPr>
      <w:r>
        <w:rPr>
          <w:rFonts w:ascii="Arial" w:hAnsi="Arial"/>
          <w:b/>
          <w:i w:val="0"/>
          <w:sz w:val="24"/>
        </w:rPr>
        <w:t>[AÑO A PARTIR DEL CUAL SE APLICA LA UMA]</w:t>
      </w:r>
      <w:r>
        <w:rPr>
          <w:rFonts w:ascii="Arial" w:hAnsi="Arial"/>
          <w:b w:val="0"/>
          <w:i w:val="0"/>
          <w:sz w:val="24"/>
        </w:rPr>
        <w:t>: sólo en pensiones otorgadas entre 1993 y 2001: el año desde el que el incremento se mide con la UMA (en el caso que inspira el machote, 2017).</w:t>
      </w:r>
    </w:p>
    <w:p>
      <w:pPr>
        <w:spacing w:line="360" w:lineRule="auto"/>
        <w:jc w:val="both"/>
      </w:pPr>
      <w:r>
        <w:rPr>
          <w:rFonts w:ascii="Arial" w:hAnsi="Arial"/>
          <w:b/>
          <w:i w:val="0"/>
          <w:sz w:val="24"/>
        </w:rPr>
        <w:t>[FECHA DEL PRIMER INCREMENTO OMITIDO]</w:t>
      </w:r>
      <w:r>
        <w:rPr>
          <w:rFonts w:ascii="Arial" w:hAnsi="Arial"/>
          <w:b w:val="0"/>
          <w:i w:val="0"/>
          <w:sz w:val="24"/>
        </w:rPr>
        <w:t>: la fecha del primer aumento que el Instituto dejó de aplicar; desde ahí se recalcula la cuota.</w:t>
      </w:r>
    </w:p>
    <w:p>
      <w:pPr>
        <w:spacing w:line="360" w:lineRule="auto"/>
        <w:jc w:val="both"/>
      </w:pPr>
      <w:r>
        <w:rPr>
          <w:rFonts w:ascii="Arial" w:hAnsi="Arial"/>
          <w:b/>
          <w:i w:val="0"/>
          <w:sz w:val="24"/>
        </w:rPr>
        <w:t>[FECHA DESDE LA QUE SE RECLAMAN LAS DIFERENCIAS]</w:t>
      </w:r>
      <w:r>
        <w:rPr>
          <w:rFonts w:ascii="Arial" w:hAnsi="Arial"/>
          <w:b w:val="0"/>
          <w:i w:val="0"/>
          <w:sz w:val="24"/>
        </w:rPr>
        <w:t>: el inicio del periodo no prescrito, contado hacia atrás desde la fecha de la solicitud conforme al artículo 186 de la ley abrogada.</w:t>
      </w:r>
    </w:p>
    <w:p/>
    <w:p>
      <w:pPr>
        <w:spacing w:line="360" w:lineRule="auto"/>
        <w:jc w:val="both"/>
      </w:pPr>
      <w:r>
        <w:rPr>
          <w:rFonts w:ascii="Arial" w:hAnsi="Arial"/>
          <w:b/>
          <w:sz w:val="28"/>
        </w:rPr>
        <w:t>[NÚMERO ORDINAL DEL CONCEPTO] CONCEPTO DE IMPUGNACIÓN. Indebida fundamentación y motivación de la negativa a incrementar una pensión por incapacidad parcial permanente derivada de riesgo de trabajo, pues la autoridad confundió la revisión médica de la incapacidad con el aumento periódico de la cuantía y dejó de aplicar el artículo 57 de la Ley del Instituto de Seguridad y Servicios Sociales de los Trabajadores del Estado abrogada, que no excluye esas prestaciones del incremento, con lo que se actualiza la causal de ilegalidad de la fracción IV del numeral 51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declaró improcedente la solicitud que </w:t>
      </w:r>
      <w:r>
        <w:rPr>
          <w:rFonts w:ascii="Arial" w:hAnsi="Arial"/>
          <w:b/>
          <w:i w:val="0"/>
          <w:sz w:val="28"/>
        </w:rPr>
        <w:t>[NOMBRE DE LA PARTE ACTORA]</w:t>
      </w:r>
      <w:r>
        <w:rPr>
          <w:rFonts w:ascii="Arial" w:hAnsi="Arial"/>
          <w:b w:val="0"/>
          <w:i w:val="0"/>
          <w:sz w:val="28"/>
        </w:rPr>
        <w:t xml:space="preserve"> presentó el </w:t>
      </w:r>
      <w:r>
        <w:rPr>
          <w:rFonts w:ascii="Arial" w:hAnsi="Arial"/>
          <w:b/>
          <w:i w:val="0"/>
          <w:sz w:val="28"/>
        </w:rPr>
        <w:t>[FECHA DE LA SOLICITUD DE INCREMENTO]</w:t>
      </w:r>
      <w:r>
        <w:rPr>
          <w:rFonts w:ascii="Arial" w:hAnsi="Arial"/>
          <w:b w:val="0"/>
          <w:i w:val="0"/>
          <w:sz w:val="28"/>
        </w:rPr>
        <w:t xml:space="preserve"> para que se incrementara la cuota diaria de su pensión por incapacidad parcial permanente, es ilegal porque descansa en una regla que la ley no contiene, conforme a la cual las prestaciones originadas en un riesgo de trabajo sólo admitirían revalorizaciones médicas.</w:t>
      </w:r>
    </w:p>
    <w:p>
      <w:pPr>
        <w:spacing w:line="360" w:lineRule="auto"/>
        <w:jc w:val="both"/>
      </w:pPr>
      <w:r>
        <w:rPr>
          <w:rFonts w:ascii="Arial" w:hAnsi="Arial"/>
          <w:b w:val="0"/>
          <w:i w:val="0"/>
          <w:sz w:val="28"/>
        </w:rPr>
        <w:t>El artículo 57 de la ley abrogada ordena aumentar la cuantía de las pensiones sin distinguir su origen, y la única salvedad que establece para las concedidas por riesgo del trabajo atañe a la cuota mínima y máxima que fija la Junta Directiva, porque el monto inicial de esas prestaciones se determina con las reglas propias del numeral 40 del mismo ordenamiento, que para la incapacidad parcial permanente remite a la tabla de valuación de incapacidades; por ello, la revisión del grado de afectación que regula este último y la actualización periódica que manda aquél son figuras distintas que coexisten.</w:t>
      </w:r>
    </w:p>
    <w:p>
      <w:pPr>
        <w:spacing w:line="360" w:lineRule="auto"/>
        <w:jc w:val="both"/>
      </w:pPr>
      <w:r>
        <w:rPr>
          <w:rFonts w:ascii="Arial" w:hAnsi="Arial"/>
          <w:b w:val="0"/>
          <w:i w:val="0"/>
          <w:sz w:val="28"/>
        </w:rPr>
        <w:t>Al negar el incremento con base en esa confusión, la autoridad llevó la revisión médica del artículo 40 a una materia que ese numeral no rige y dejó de aplicar el que sí la gobierna, supuesto exacto de la causal prevista en el numeral 51, fracción IV, de la Ley Federal de Procedimiento Contencioso Administrativo. En consecuencia, procede declarar la nulidad de la resolución y, con apoyo en el diverso 52, fracciones IV y V, inciso a), de ese cuerpo legal, reconocer el derecho de la parte actora a los incrementos omitidos y condenar al Instituto al pago de las diferencias no prescritas, debidamente actualizadas.</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parte actora disfruta de una pensión por incapacidad parcial permanente derivada de un riesgo de trabajo, otorgada por el Instituto de Seguridad y Servicios Sociales de los Trabajadores del Estado con efectos a partir del </w:t>
      </w:r>
      <w:r>
        <w:rPr>
          <w:rFonts w:ascii="Arial" w:hAnsi="Arial"/>
          <w:b/>
          <w:i w:val="0"/>
          <w:sz w:val="28"/>
        </w:rPr>
        <w:t>[FECHA DE INICIO DE LA PENSIÓN]</w:t>
      </w:r>
      <w:r>
        <w:rPr>
          <w:rFonts w:ascii="Arial" w:hAnsi="Arial"/>
          <w:b w:val="0"/>
          <w:i w:val="0"/>
          <w:sz w:val="28"/>
        </w:rPr>
        <w:t xml:space="preserve">, como consta en </w:t>
      </w:r>
      <w:r>
        <w:rPr>
          <w:rFonts w:ascii="Arial" w:hAnsi="Arial"/>
          <w:b/>
          <w:i w:val="0"/>
          <w:sz w:val="28"/>
        </w:rPr>
        <w:t>[DOCUMENTOS QUE ACREDITAN LA PENSIÓN]</w:t>
      </w:r>
      <w:r>
        <w:rPr>
          <w:rFonts w:ascii="Arial" w:hAnsi="Arial"/>
          <w:b w:val="0"/>
          <w:i w:val="0"/>
          <w:sz w:val="28"/>
        </w:rPr>
        <w:t xml:space="preserve">, y al advertir que su cuota diaria no se había actualizado conforme a la ley solicitó el ajuste correspondiente, petición que la autoridad negó con el siguiente razonamiento: </w:t>
      </w:r>
      <w:r>
        <w:rPr>
          <w:rFonts w:ascii="Arial" w:hAnsi="Arial"/>
          <w:b w:val="0"/>
          <w:i/>
          <w:sz w:val="28"/>
        </w:rPr>
        <w:t>“[TRANSCRIPCIÓN DEL MOTIVO DE LA NEGATIVA]”</w:t>
      </w:r>
      <w:r>
        <w:rPr>
          <w:rFonts w:ascii="Arial" w:hAnsi="Arial"/>
          <w:b w:val="0"/>
          <w:i w:val="0"/>
          <w:sz w:val="28"/>
        </w:rPr>
        <w:t>.</w:t>
      </w:r>
    </w:p>
    <w:p>
      <w:pPr>
        <w:spacing w:line="360" w:lineRule="auto"/>
        <w:jc w:val="both"/>
      </w:pPr>
      <w:r>
        <w:rPr>
          <w:rFonts w:ascii="Arial" w:hAnsi="Arial"/>
          <w:b w:val="0"/>
          <w:i w:val="0"/>
          <w:sz w:val="28"/>
        </w:rPr>
        <w:t>Las normas cuya inobservancia se plantea son, en primer término, el artículo 57 de la Ley del Instituto de Seguridad y Servicios Sociales de los Trabajadores del Estado abrogada, en el texto vigente a la fecha de otorgamiento de la prestación, que ordena el incremento periódico de las pensiones, y el numeral 40, fracciones II y IV, del mismo ordenamiento, que la autoridad aplicó, expresa o implícitamente, fuera de su ámbito; en segundo lugar, el precepto 16, primer párrafo, de la Constitución Política de los Estados Unidos Mexicanos, que exige fundar y motivar la causa legal de todo acto de molestia.</w:t>
      </w:r>
    </w:p>
    <w:p>
      <w:pPr>
        <w:spacing w:line="360" w:lineRule="auto"/>
        <w:jc w:val="both"/>
      </w:pPr>
      <w:r>
        <w:rPr>
          <w:rFonts w:ascii="Arial" w:hAnsi="Arial"/>
          <w:b w:val="0"/>
          <w:i w:val="0"/>
          <w:sz w:val="28"/>
        </w:rPr>
        <w:t>El perjuicio es directo y se renueva con cada pago, pues mientras la cuota diaria permanezca en su monto inicial o en uno ajustado de manera incompleta, la parte actora recibe una prestación cuyo poder adquisitivo disminuye año con año, y de prosperar este concepto obtendría el mayor beneficio posible en el juicio, consistente en el reconocimiento de su derecho a los incrementos y en la condena al pago de las diferencias que de ellos deriven.</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La pensión por incapacidad derivada de un riesgo de trabajo forma parte del núcleo constitucional de la seguridad social de quienes sirven al Estado, pues el artículo 123, apartado B, fracción XI, inciso a), de la Constitución dispone que ésta cubrirá </w:t>
      </w:r>
      <w:r>
        <w:rPr>
          <w:rFonts w:ascii="Arial" w:hAnsi="Arial"/>
          <w:b w:val="0"/>
          <w:i/>
          <w:sz w:val="28"/>
        </w:rPr>
        <w:t>“los accidentes y enfermedades profesionales”</w:t>
      </w:r>
      <w:r>
        <w:rPr>
          <w:rFonts w:ascii="Arial" w:hAnsi="Arial"/>
          <w:b w:val="0"/>
          <w:i w:val="0"/>
          <w:sz w:val="28"/>
        </w:rPr>
        <w:t xml:space="preserve"> junto con la jubilación, la invalidez, la vejez y la muerte, sin establecer entre esas contingencias una jerarquía que autorice a tratar a quien se lesionó en el servicio como titular de una prestación de segunda categoría en lo que toca a la conservación de su valor.</w:t>
      </w:r>
    </w:p>
    <w:p>
      <w:pPr>
        <w:spacing w:line="360" w:lineRule="auto"/>
        <w:jc w:val="both"/>
      </w:pPr>
      <w:r>
        <w:rPr>
          <w:rFonts w:ascii="Arial" w:hAnsi="Arial"/>
          <w:b w:val="0"/>
          <w:i w:val="0"/>
          <w:sz w:val="28"/>
        </w:rPr>
        <w:t>López Bello explica que la garantía de fundamentación y motivación exige del acto de autoridad un mínimo de razonabilidad, integrado por la fundamentación en una norma y por una motivación razonada que justifique la adecuación lógica entre los motivos aducidos y el precepto aplicado, de suerte que desconocer esos elementos lógicos puede dar lugar a una deficiente fundamentación y motivación.</w:t>
      </w:r>
      <w:r>
        <w:rPr>
          <w:rFonts w:ascii="Arial" w:hAnsi="Arial"/>
          <w:vertAlign w:val="superscript"/>
        </w:rPr>
        <w:t>1</w:t>
      </w:r>
      <w:r>
        <w:rPr>
          <w:rFonts w:ascii="Arial" w:hAnsi="Arial"/>
          <w:b w:val="0"/>
          <w:i w:val="0"/>
          <w:sz w:val="28"/>
        </w:rPr>
        <w:t xml:space="preserve"> Una negativa sustentada en una regla que no figura en la ley carece, por definición, de esa adecuación.</w:t>
      </w:r>
    </w:p>
    <w:p>
      <w:pPr>
        <w:spacing w:line="360" w:lineRule="auto"/>
        <w:jc w:val="both"/>
      </w:pPr>
      <w:r>
        <w:rPr>
          <w:rFonts w:ascii="Arial" w:hAnsi="Arial"/>
          <w:b w:val="0"/>
          <w:i w:val="0"/>
          <w:sz w:val="28"/>
        </w:rPr>
        <w:t xml:space="preserve">A la luz de esa exigencia debe leerse el artículo 57 de la ley abrogada, cuyo primer párrafo, idéntico en los textos que rigieron de 1993 a 2007, dispone: </w:t>
      </w:r>
      <w:r>
        <w:rPr>
          <w:rFonts w:ascii="Arial" w:hAnsi="Arial"/>
          <w:b w:val="0"/>
          <w:i/>
          <w:sz w:val="28"/>
        </w:rPr>
        <w:t>“La cuota mínima y máxima de las pensiones, con excepción de las concedidas por riesgo del trabajo, serán fijadas por la Junta Directiva del Instituto, pero la máxima no podrá exceder del 100% del sueldo regulador a que se refiere el artículo 64, aún en el caso de la aplicación de otras leyes.”</w:t>
      </w:r>
    </w:p>
    <w:p>
      <w:pPr>
        <w:spacing w:line="360" w:lineRule="auto"/>
        <w:jc w:val="both"/>
      </w:pPr>
      <w:r>
        <w:rPr>
          <w:rFonts w:ascii="Arial" w:hAnsi="Arial"/>
          <w:b w:val="0"/>
          <w:i w:val="0"/>
          <w:sz w:val="28"/>
        </w:rPr>
        <w:t xml:space="preserve">Si la pensión se otorgó entre el 5 de enero de 1993 y el 31 de diciembre de 2001, el párrafo tercero de ese precepto, reformado por decreto publicado en el Diario Oficial de la Federación el 4 de enero de 1993, ordena: </w:t>
      </w:r>
      <w:r>
        <w:rPr>
          <w:rFonts w:ascii="Arial" w:hAnsi="Arial"/>
          <w:b w:val="0"/>
          <w:i/>
          <w:sz w:val="28"/>
        </w:rPr>
        <w:t>“La cuantía de las pensiones se incrementará conforme aumente el salario mínimo general para el Distrito Federal, de tal modo que todo incremento porcentual a dicho salario se refleje simultáneamente en las pensiones que paga el Instituto.”</w:t>
      </w:r>
    </w:p>
    <w:p>
      <w:pPr>
        <w:spacing w:line="360" w:lineRule="auto"/>
        <w:jc w:val="both"/>
      </w:pPr>
      <w:r>
        <w:rPr>
          <w:rFonts w:ascii="Arial" w:hAnsi="Arial"/>
          <w:b w:val="0"/>
          <w:i w:val="0"/>
          <w:sz w:val="28"/>
        </w:rPr>
        <w:t xml:space="preserve">Si, en cambio, la prestación se otorgó entre el 1 de enero de 2002 y el 31 de marzo de 2007, el mismo párrafo, reformado por decreto publicado el 1 de junio de 2001, establece: </w:t>
      </w:r>
      <w:r>
        <w:rPr>
          <w:rFonts w:ascii="Arial" w:hAnsi="Arial"/>
          <w:b w:val="0"/>
          <w:i/>
          <w:sz w:val="28"/>
        </w:rPr>
        <w:t>“La cuantía de las pensiones se aumentará anualmente conforme al incremento que en el año calendario anterior hubiese tenido el Índice Nacional de Precios al Consumidor, con efectos a partir del día primero del mes de enero de cada año.”</w:t>
      </w:r>
      <w:r>
        <w:rPr>
          <w:rFonts w:ascii="Arial" w:hAnsi="Arial"/>
          <w:b w:val="0"/>
          <w:i w:val="0"/>
          <w:sz w:val="28"/>
        </w:rPr>
        <w:t>, y el párrafo cuarto, adicionado en esa fecha, manda aplicar el aumento de los sueldos básicos del personal en activo cuando éste resulte superior.</w:t>
      </w:r>
    </w:p>
    <w:p>
      <w:pPr>
        <w:spacing w:line="360" w:lineRule="auto"/>
        <w:jc w:val="both"/>
      </w:pPr>
      <w:r>
        <w:rPr>
          <w:rFonts w:ascii="Arial" w:hAnsi="Arial"/>
          <w:b w:val="0"/>
          <w:i w:val="0"/>
          <w:sz w:val="28"/>
        </w:rPr>
        <w:t>Dehesa Dávila describe el argumento sedes materiae, también llamado topográfico, como aquel por el que el significado de un enunciado dudoso se atribuye a partir del lugar que ocupa en el contexto normativo del que forma parte.</w:t>
      </w:r>
      <w:r>
        <w:rPr>
          <w:rFonts w:ascii="Arial" w:hAnsi="Arial"/>
          <w:vertAlign w:val="superscript"/>
        </w:rPr>
        <w:t>2</w:t>
      </w:r>
      <w:r>
        <w:rPr>
          <w:rFonts w:ascii="Arial" w:hAnsi="Arial"/>
          <w:b w:val="0"/>
          <w:i w:val="0"/>
          <w:sz w:val="28"/>
        </w:rPr>
        <w:t xml:space="preserve"> Conforme a ese criterio, la salvedad relativa a las pensiones concedidas por riesgo del trabajo está inserta en el párrafo que regula la cuota mínima y máxima fijada por la Junta Directiva y agota en él su alcance, sin extenderse al párrafo que ordena el aumento periódico, el cual se refiere a la cuantía de las pensiones sin calificativo alguno.</w:t>
      </w:r>
    </w:p>
    <w:p>
      <w:pPr>
        <w:spacing w:line="360" w:lineRule="auto"/>
        <w:jc w:val="both"/>
      </w:pPr>
      <w:r>
        <w:rPr>
          <w:rFonts w:ascii="Arial" w:hAnsi="Arial"/>
          <w:b w:val="0"/>
          <w:i w:val="0"/>
          <w:sz w:val="28"/>
        </w:rPr>
        <w:t>La razón de esa salvedad se encuentra en la fracción II del artículo 40 de la ley abrogada, que manda calcular la pensión por incapacidad parcial permanente conforme a la tabla de valuación de incapacidades de la Ley Federal del Trabajo, atendiendo al sueldo básico que percibía la persona trabajadora al ocurrir el riesgo y a los aumentos posteriores de su empleo hasta que se determinó el beneficio, de manera que el monto inicial de esas prestaciones obedece a un método propio, ajeno a los topes de la Junta Directiva, sin que ello prejuzgue sobre su actualización posterior.</w:t>
      </w:r>
    </w:p>
    <w:p>
      <w:pPr>
        <w:spacing w:line="360" w:lineRule="auto"/>
        <w:jc w:val="both"/>
      </w:pPr>
      <w:r>
        <w:rPr>
          <w:rFonts w:ascii="Arial" w:hAnsi="Arial"/>
          <w:b w:val="0"/>
          <w:i w:val="0"/>
          <w:sz w:val="28"/>
        </w:rPr>
        <w:t>Dehesa Dávila recoge, entre las reglas clásicas de interpretación, la que prohíbe distinguir donde la ley no distingue y hacer excepciones que ella no contenga, fundada en que si el legislador hubiera querido establecer una distinción o excepción la habría consignado expresamente.</w:t>
      </w:r>
      <w:r>
        <w:rPr>
          <w:rFonts w:ascii="Arial" w:hAnsi="Arial"/>
          <w:vertAlign w:val="superscript"/>
        </w:rPr>
        <w:t>3</w:t>
      </w:r>
      <w:r>
        <w:rPr>
          <w:rFonts w:ascii="Arial" w:hAnsi="Arial"/>
          <w:b w:val="0"/>
          <w:i w:val="0"/>
          <w:sz w:val="28"/>
        </w:rPr>
        <w:t xml:space="preserve"> El párrafo que ordena el aumento alude a la cuantía de las pensiones sin excluir a ninguna, y el legislador que sí exceptuó a las de riesgo del trabajo en el primer párrafo, para un fin preciso, no repitió esa salvedad al regular el incremento.</w:t>
      </w:r>
    </w:p>
    <w:p>
      <w:pPr>
        <w:spacing w:line="360" w:lineRule="auto"/>
        <w:jc w:val="both"/>
      </w:pPr>
      <w:r>
        <w:rPr>
          <w:rFonts w:ascii="Arial" w:hAnsi="Arial"/>
          <w:b w:val="0"/>
          <w:i w:val="0"/>
          <w:sz w:val="28"/>
        </w:rPr>
        <w:t>Guastini explica que la interpretación restrictiva que, mediante el argumento de la disociación, introduce en una norma una cláusula de excepción no expresada pertenece a las operaciones de construcción jurídica, porque equivale a sustituir la norma originaria por otra distinta.</w:t>
      </w:r>
      <w:r>
        <w:rPr>
          <w:rFonts w:ascii="Arial" w:hAnsi="Arial"/>
          <w:vertAlign w:val="superscript"/>
        </w:rPr>
        <w:t>4</w:t>
      </w:r>
      <w:r>
        <w:rPr>
          <w:rFonts w:ascii="Arial" w:hAnsi="Arial"/>
          <w:b w:val="0"/>
          <w:i w:val="0"/>
          <w:sz w:val="28"/>
        </w:rPr>
        <w:t xml:space="preserve"> Eso hace la autoridad cuando lee el párrafo del incremento como si dijera que la cuantía se aumentará salvo en las pensiones concedidas por riesgo del trabajo, reescritura que la legalidad veda a quien sólo puede aplicar la ley en los términos en que fue expedida.</w:t>
      </w:r>
    </w:p>
    <w:p>
      <w:pPr>
        <w:spacing w:line="360" w:lineRule="auto"/>
        <w:jc w:val="both"/>
      </w:pPr>
      <w:r>
        <w:rPr>
          <w:rFonts w:ascii="Arial" w:hAnsi="Arial"/>
          <w:b w:val="0"/>
          <w:i w:val="0"/>
          <w:sz w:val="28"/>
        </w:rPr>
        <w:t>La fracción IV del numeral 40 regula una institución de naturaleza diversa, pues prevé que la pensión por riesgo de trabajo se concede con carácter provisional durante un período de adaptación en el que el Instituto y la persona afectada pueden pedir que se revise el grado de incapacidad para aumentar o disminuir la cuantía según su evolución, y que, una vez definitiva, ese examen sólo procede con la periodicidad que el propio precepto fija o ante pruebas de un cambio sustancial en las condiciones de la incapacidad.</w:t>
      </w:r>
    </w:p>
    <w:p>
      <w:pPr>
        <w:spacing w:line="360" w:lineRule="auto"/>
        <w:jc w:val="both"/>
      </w:pPr>
      <w:r>
        <w:rPr>
          <w:rFonts w:ascii="Arial" w:hAnsi="Arial"/>
          <w:b w:val="0"/>
          <w:i w:val="0"/>
          <w:sz w:val="28"/>
        </w:rPr>
        <w:t>Las dos figuras miden variables distintas, porque la revisión de la fracción IV ajusta la prestación al grado de incapacidad que conserva la persona pensionada y por eso puede elevarla o reducirla según su evolución médica, mientras que el incremento del artículo 57 preserva el valor económico de la cuantía frente al transcurso del tiempo y sólo opera al alza, por lo que ambas pueden concurrir sobre el mismo beneficio sin excluirse.</w:t>
      </w:r>
    </w:p>
    <w:p>
      <w:pPr>
        <w:spacing w:line="360" w:lineRule="auto"/>
        <w:jc w:val="both"/>
      </w:pPr>
      <w:r>
        <w:rPr>
          <w:rFonts w:ascii="Arial" w:hAnsi="Arial"/>
          <w:b w:val="0"/>
          <w:i w:val="0"/>
          <w:sz w:val="28"/>
        </w:rPr>
        <w:t xml:space="preserve">Tratándose de pensiones cuyo aumento está referido al salario mínimo, la reforma constitucional en materia de desindexación, publicada en el Diario Oficial de la Federación el 27 de enero de 2016, sustituyó esa referencia por la Unidad de Medida y Actualización en los usos ajenos a su naturaleza, por lo que, como lo ha reconocido una Sala Regional de este Tribunal en un caso análogo, los incrementos se cuantifican con el parámetro original hasta el año anterior a </w:t>
      </w:r>
      <w:r>
        <w:rPr>
          <w:rFonts w:ascii="Arial" w:hAnsi="Arial"/>
          <w:b/>
          <w:i w:val="0"/>
          <w:sz w:val="28"/>
        </w:rPr>
        <w:t>[AÑO A PARTIR DEL CUAL SE APLICA LA UMA]</w:t>
      </w:r>
      <w:r>
        <w:rPr>
          <w:rFonts w:ascii="Arial" w:hAnsi="Arial"/>
          <w:b w:val="0"/>
          <w:i w:val="0"/>
          <w:sz w:val="28"/>
        </w:rPr>
        <w:t xml:space="preserve"> y, desde entonces, con el valor de la nueva unidad.</w:t>
      </w:r>
    </w:p>
    <w:p>
      <w:pPr>
        <w:spacing w:line="360" w:lineRule="auto"/>
        <w:jc w:val="both"/>
      </w:pPr>
      <w:r>
        <w:rPr>
          <w:rFonts w:ascii="Arial" w:hAnsi="Arial"/>
          <w:b w:val="0"/>
          <w:i w:val="0"/>
          <w:sz w:val="28"/>
        </w:rPr>
        <w:t xml:space="preserve">La distribución de la carga probatoria completa la premisa mayor, pues el artículo 40 de la Ley Federal de Procedimiento Contencioso Administrativo dispone que la persona actora que pretende se reconozca o se haga efectivo un derecho subjetivo debe probar los hechos de los que éste deriva y su violación </w:t>
      </w:r>
      <w:r>
        <w:rPr>
          <w:rFonts w:ascii="Arial" w:hAnsi="Arial"/>
          <w:b w:val="0"/>
          <w:i/>
          <w:sz w:val="28"/>
        </w:rPr>
        <w:t>“cuando ésta consista en hechos positivos”</w:t>
      </w:r>
      <w:r>
        <w:rPr>
          <w:rFonts w:ascii="Arial" w:hAnsi="Arial"/>
          <w:b w:val="0"/>
          <w:i w:val="0"/>
          <w:sz w:val="28"/>
        </w:rPr>
        <w:t>, y la demandada, sus excepciones; en consecuencia, a quien demanda le corresponde acreditar el otorgamiento y el origen de la pensión, y al Instituto, que calculó y pagó cada incremento en la fecha y proporción debidas.</w:t>
      </w:r>
    </w:p>
    <w:p>
      <w:pPr>
        <w:spacing w:line="360" w:lineRule="auto"/>
        <w:jc w:val="both"/>
      </w:pPr>
      <w:r>
        <w:rPr>
          <w:rFonts w:ascii="Arial" w:hAnsi="Arial"/>
          <w:b w:val="0"/>
          <w:i w:val="0"/>
          <w:sz w:val="28"/>
        </w:rPr>
        <w:t>Esa solución coincide con el principio de facilidad y disponibilidad probatoria que Gama Leyva expone a partir de la doctrina procesal española, conforme al cual la carga de acreditar un hecho se asigna a la parte para la que resulta más fácil probarlo por la posición que ocupa respecto de la prueba.</w:t>
      </w:r>
      <w:r>
        <w:rPr>
          <w:rFonts w:ascii="Arial" w:hAnsi="Arial"/>
          <w:vertAlign w:val="superscript"/>
        </w:rPr>
        <w:t>5</w:t>
      </w:r>
      <w:r>
        <w:rPr>
          <w:rFonts w:ascii="Arial" w:hAnsi="Arial"/>
          <w:b w:val="0"/>
          <w:i w:val="0"/>
          <w:sz w:val="28"/>
        </w:rPr>
        <w:t xml:space="preserve"> El Instituto conserva el expediente de pensión, las nóminas y el registro de cada ajuste aplicado, mientras que la persona pensionada sólo recibe comprobantes de pago que no explican si la cuota se actualizó ni conforme a qué parámetro.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En el caso, la parte actora disfruta desde el </w:t>
      </w:r>
      <w:r>
        <w:rPr>
          <w:rFonts w:ascii="Arial" w:hAnsi="Arial"/>
          <w:b/>
          <w:i w:val="0"/>
          <w:sz w:val="28"/>
        </w:rPr>
        <w:t>[FECHA DE INICIO DE LA PENSIÓN]</w:t>
      </w:r>
      <w:r>
        <w:rPr>
          <w:rFonts w:ascii="Arial" w:hAnsi="Arial"/>
          <w:b w:val="0"/>
          <w:i w:val="0"/>
          <w:sz w:val="28"/>
        </w:rPr>
        <w:t xml:space="preserve"> de una pensión por incapacidad parcial permanente derivada de un riesgo de trabajo, cuya actualización se rige por el texto del artículo 57 transcrito en el apartado anterior que corresponde a esa fecha, y niega lisa y llanamente que el Instituto haya aplicado a su cuota diaria los incrementos ordenados por ese precepto a partir del </w:t>
      </w:r>
      <w:r>
        <w:rPr>
          <w:rFonts w:ascii="Arial" w:hAnsi="Arial"/>
          <w:b/>
          <w:i w:val="0"/>
          <w:sz w:val="28"/>
        </w:rPr>
        <w:t>[FECHA DEL PRIMER INCREMENTO OMITIDO]</w:t>
      </w:r>
      <w:r>
        <w:rPr>
          <w:rFonts w:ascii="Arial" w:hAnsi="Arial"/>
          <w:b w:val="0"/>
          <w:i w:val="0"/>
          <w:sz w:val="28"/>
        </w:rPr>
        <w:t>, omisión que la propia autoridad reconoce de manera implícita al sostener que tales aumentos son improcedentes.</w:t>
      </w:r>
    </w:p>
    <w:p>
      <w:pPr>
        <w:spacing w:line="360" w:lineRule="auto"/>
        <w:jc w:val="both"/>
      </w:pPr>
      <w:r>
        <w:rPr>
          <w:rFonts w:ascii="Arial" w:hAnsi="Arial"/>
          <w:b w:val="0"/>
          <w:i w:val="0"/>
          <w:sz w:val="28"/>
        </w:rPr>
        <w:t xml:space="preserve">La resolución impugnada no invoca precepto alguno que excluya expresamente del incremento a las pensiones por riesgo de trabajo, porque la ley abrogada no contiene ninguno, y apoya la negativa en una lectura, expresa o implícita, del artículo 40 que traslada la revisión médica de la incapacidad al terreno de la actualización económica de la cuantía, con lo cual la autoridad incurrió en la hipótesis que la fracción IV del numeral 51 de la Ley Federal de Procedimiento Contencioso Administrativo describe como dictar el acto </w:t>
      </w:r>
      <w:r>
        <w:rPr>
          <w:rFonts w:ascii="Arial" w:hAnsi="Arial"/>
          <w:b w:val="0"/>
          <w:i/>
          <w:sz w:val="28"/>
        </w:rPr>
        <w:t>“en contravención de las disposiciones aplicadas”</w:t>
      </w:r>
      <w:r>
        <w:rPr>
          <w:rFonts w:ascii="Arial" w:hAnsi="Arial"/>
          <w:b w:val="0"/>
          <w:i w:val="0"/>
          <w:sz w:val="28"/>
        </w:rPr>
        <w:t xml:space="preserve"> o dejar </w:t>
      </w:r>
      <w:r>
        <w:rPr>
          <w:rFonts w:ascii="Arial" w:hAnsi="Arial"/>
          <w:b w:val="0"/>
          <w:i/>
          <w:sz w:val="28"/>
        </w:rPr>
        <w:t>“de aplicar las debidas”</w:t>
      </w:r>
      <w:r>
        <w:rPr>
          <w:rFonts w:ascii="Arial" w:hAnsi="Arial"/>
          <w:b w:val="0"/>
          <w:i w:val="0"/>
          <w:sz w:val="28"/>
        </w:rPr>
        <w:t>.</w:t>
      </w:r>
    </w:p>
    <w:p>
      <w:pPr>
        <w:spacing w:line="360" w:lineRule="auto"/>
        <w:jc w:val="both"/>
      </w:pPr>
      <w:r>
        <w:rPr>
          <w:rFonts w:ascii="Arial" w:hAnsi="Arial"/>
          <w:b w:val="0"/>
          <w:i w:val="0"/>
          <w:sz w:val="28"/>
        </w:rPr>
        <w:t>El razonamiento de la autoridad incurre, además, en la falacia por falsa disyunción, que García Damborenea describe como la que se produce cuando los términos en disyuntiva no son exhaustivos o no son excluyentes, defecto que convierte en falaz todo argumento disyuntivo construido a partir de ella.</w:t>
      </w:r>
      <w:r>
        <w:rPr>
          <w:rFonts w:ascii="Arial" w:hAnsi="Arial"/>
          <w:vertAlign w:val="superscript"/>
        </w:rPr>
        <w:t>6</w:t>
      </w:r>
    </w:p>
    <w:p>
      <w:pPr>
        <w:spacing w:line="360" w:lineRule="auto"/>
        <w:jc w:val="both"/>
      </w:pPr>
      <w:r>
        <w:rPr>
          <w:rFonts w:ascii="Arial" w:hAnsi="Arial"/>
          <w:b w:val="0"/>
          <w:i w:val="0"/>
          <w:sz w:val="28"/>
        </w:rPr>
        <w:t>La negativa presupone que una pensión sólo puede modificarse por revalorización médica o por incremento periódico, como si se tratara de alternativas excluyentes, y de que las prestaciones por incapacidad admiten la primera concluye que no admiten el segundo; esa disyuntiva es falsa, porque la ley abrogada prevé ambas vías para fines distintos y ninguna disposición las declara incompatibles, de modo que la conclusión pierde todo soporte en cuanto se restituye la posibilidad omitida, que es la concurrencia de las dos.</w:t>
      </w:r>
    </w:p>
    <w:p>
      <w:pPr>
        <w:spacing w:line="360" w:lineRule="auto"/>
        <w:jc w:val="both"/>
      </w:pPr>
      <w:r>
        <w:rPr>
          <w:rFonts w:ascii="Arial" w:hAnsi="Arial"/>
          <w:b w:val="0"/>
          <w:i w:val="0"/>
          <w:sz w:val="28"/>
        </w:rPr>
        <w:t>El mismo razonamiento descansa en un equívoco, porque toma el aumento de la cuantía que puede resultar de la revisión de la incapacidad como si fuera el incremento que el artículo 57 ordena para conservar el valor de la prestación, y al confundir ambas acepciones concluye que la pensión por riesgo de trabajo ya cuenta con su propio mecanismo de aumento, cuando ese mecanismo sólo se activa si la incapacidad se agrava.</w:t>
      </w:r>
    </w:p>
    <w:p>
      <w:pPr>
        <w:spacing w:line="360" w:lineRule="auto"/>
        <w:jc w:val="both"/>
      </w:pPr>
      <w:r>
        <w:rPr>
          <w:rFonts w:ascii="Arial" w:hAnsi="Arial"/>
          <w:b w:val="0"/>
          <w:i w:val="0"/>
          <w:sz w:val="28"/>
        </w:rPr>
        <w:t>Aceptar la lectura de la autoridad llevaría a que la persona cuya incapacidad se estabilizó viera congelado su ingreso de manera indefinida, mientras el de quienes se jubilaron o se pensionaron por otras causas se actualiza conforme a la ley, resultado que coloca en peor posición precisamente a quien sufrió el riesgo en el servicio y que contradice la protección constitucional de los accidentes y enfermedades profesionales, por lo que ninguna interpretación que lo produzca puede sostenerse.</w:t>
      </w:r>
    </w:p>
    <w:p>
      <w:pPr>
        <w:spacing w:line="360" w:lineRule="auto"/>
        <w:jc w:val="both"/>
      </w:pPr>
      <w:r>
        <w:rPr>
          <w:rFonts w:ascii="Arial" w:hAnsi="Arial"/>
          <w:b w:val="0"/>
          <w:i w:val="0"/>
          <w:sz w:val="28"/>
        </w:rPr>
        <w:t>Si al contestar la demanda la autoridad afirma que sí aplicó los incrementos, esa defensa contradice la motivación de la resolución impugnada, que los declaró improcedentes, y no puede servir para sostener su validez, pues el artículo 22, primer párrafo, de la Ley Federal de Procedimiento Contencioso Administrativo impide cambiar en la contestación los fundamentos de derecho del acto; en todo caso, por tratarse de un hecho que la parte actora niega y que sustenta una excepción, corresponde al Instituto acreditar cada ajuste con su fecha, su porcentaje y la forma en que se reflejó en la cuota diaria.</w:t>
      </w:r>
    </w:p>
    <w:p>
      <w:pPr>
        <w:spacing w:line="360" w:lineRule="auto"/>
        <w:jc w:val="both"/>
      </w:pPr>
      <w:r>
        <w:rPr>
          <w:rFonts w:ascii="Arial" w:hAnsi="Arial"/>
          <w:b w:val="0"/>
          <w:i w:val="0"/>
          <w:sz w:val="28"/>
        </w:rPr>
        <w:t>Desde ahora se solicita a la Magistrada Instructora o al Magistrado Instructor que requiera a la autoridad la exhibición del expediente de pensión y del historial de pagos y ajustes de la cuota diaria, documentos que obran en su poder, con el apercibimiento que en derecho proceda, y que, ante su falta de exhibición o la insuficiencia de lo exhibido, se tenga por no acreditada la aplicación de los incrementos.</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La pensión por incapacidad parcial permanente de la parte actora está comprendida en el mandato de incremento del artículo 57 de la ley abrogada, la salvedad que ese precepto contiene para las concedidas por riesgo del trabajo se limita a la cuota mínima y máxima, la revisión médica del numeral 40 persigue un fin distinto que no desplaza la actualización económica y la carga de demostrar los aumentos pesa sobre el Instituto, por lo que la negativa impugnada se dictó en contravención de las disposiciones aplicables.</w:t>
      </w:r>
    </w:p>
    <w:p>
      <w:pPr>
        <w:spacing w:line="360" w:lineRule="auto"/>
        <w:jc w:val="both"/>
      </w:pPr>
      <w:r>
        <w:rPr>
          <w:rFonts w:ascii="Arial" w:hAnsi="Arial"/>
          <w:b w:val="0"/>
          <w:i w:val="0"/>
          <w:sz w:val="28"/>
        </w:rPr>
        <w:t xml:space="preserve">Por lo expuesto, procede declarar fundado este concepto y la nulidad de la resolución impugnada conforme a los artículos 51, fracción IV, y 52, fracciones IV y V, inciso a), de la Ley Federal de Procedimiento Contencioso Administrativo, y reconocer el derecho de la parte actora a que su cuota diaria se incremente desde el </w:t>
      </w:r>
      <w:r>
        <w:rPr>
          <w:rFonts w:ascii="Arial" w:hAnsi="Arial"/>
          <w:b/>
          <w:i w:val="0"/>
          <w:sz w:val="28"/>
        </w:rPr>
        <w:t>[FECHA DEL PRIMER INCREMENTO OMITIDO]</w:t>
      </w:r>
      <w:r>
        <w:rPr>
          <w:rFonts w:ascii="Arial" w:hAnsi="Arial"/>
          <w:b w:val="0"/>
          <w:i w:val="0"/>
          <w:sz w:val="28"/>
        </w:rPr>
        <w:t xml:space="preserve"> conforme al texto aplicable del precepto 57 de la ley abrogada y, en su caso, al valor de la Unidad de Medida y Actualización a partir de </w:t>
      </w:r>
      <w:r>
        <w:rPr>
          <w:rFonts w:ascii="Arial" w:hAnsi="Arial"/>
          <w:b/>
          <w:i w:val="0"/>
          <w:sz w:val="28"/>
        </w:rPr>
        <w:t>[AÑO A PARTIR DEL CUAL SE APLICA LA UMA]</w:t>
      </w:r>
      <w:r>
        <w:rPr>
          <w:rFonts w:ascii="Arial" w:hAnsi="Arial"/>
          <w:b w:val="0"/>
          <w:i w:val="0"/>
          <w:sz w:val="28"/>
        </w:rPr>
        <w:t>, recalculando cada ajuste desde el primero, porque cada uno sirve de base al siguiente.</w:t>
      </w:r>
    </w:p>
    <w:p>
      <w:pPr>
        <w:spacing w:line="360" w:lineRule="auto"/>
        <w:jc w:val="both"/>
      </w:pPr>
      <w:r>
        <w:rPr>
          <w:rFonts w:ascii="Arial" w:hAnsi="Arial"/>
          <w:b w:val="0"/>
          <w:i w:val="0"/>
          <w:sz w:val="28"/>
        </w:rPr>
        <w:t xml:space="preserve">Asimismo, se solicita condenar a la autoridad al pago de las diferencias de la cuota diaria y del aguinaldo o gratificación anual que resulten del correcto incremento, generadas desde el </w:t>
      </w:r>
      <w:r>
        <w:rPr>
          <w:rFonts w:ascii="Arial" w:hAnsi="Arial"/>
          <w:b/>
          <w:i w:val="0"/>
          <w:sz w:val="28"/>
        </w:rPr>
        <w:t>[FECHA DESDE LA QUE SE RECLAMAN LAS DIFERENCIAS]</w:t>
      </w:r>
      <w:r>
        <w:rPr>
          <w:rFonts w:ascii="Arial" w:hAnsi="Arial"/>
          <w:b w:val="0"/>
          <w:i w:val="0"/>
          <w:sz w:val="28"/>
        </w:rPr>
        <w:t xml:space="preserve">, dentro del plazo de prescripción del artículo 186 de la ley abrogada computado hacia atrás desde la solicitud presentada el </w:t>
      </w:r>
      <w:r>
        <w:rPr>
          <w:rFonts w:ascii="Arial" w:hAnsi="Arial"/>
          <w:b/>
          <w:i w:val="0"/>
          <w:sz w:val="28"/>
        </w:rPr>
        <w:t>[FECHA DE LA SOLICITUD DE INCREMENTO]</w:t>
      </w:r>
      <w:r>
        <w:rPr>
          <w:rFonts w:ascii="Arial" w:hAnsi="Arial"/>
          <w:b w:val="0"/>
          <w:i w:val="0"/>
          <w:sz w:val="28"/>
        </w:rPr>
        <w:t>, y hasta que se dé cumplimiento a la sentencia, actualizadas conforme al procedimiento del numeral 6, fracción II, de la Ley del Impuesto sobre la Renta, porque la omisión es imputable al Instituto.</w:t>
      </w:r>
    </w:p>
    <w:p>
      <w:pPr>
        <w:spacing w:line="360" w:lineRule="auto"/>
        <w:jc w:val="both"/>
      </w:pPr>
      <w:r>
        <w:rPr>
          <w:rFonts w:ascii="Arial" w:hAnsi="Arial"/>
          <w:b w:val="0"/>
          <w:i w:val="0"/>
          <w:sz w:val="28"/>
        </w:rPr>
        <w:t>Finalmente, como la condena implica modificar la cuantía de la prestación, se pide que la Sala precise en la sentencia el alcance y los términos de su cumplimiento, conforme a la fracción IV, segundo párrafo, del artículo 52 de la Ley Federal de Procedimiento Contencioso Administrativo, señalando al menos el parámetro aplicable a cada periodo, la fecha del primer incremento y el lapso por el que deben cubrirse las diferencias, para que la cuantificación no quede librada por completo a la autoridad que negó el derecho.</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 p. 58.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 p. 593.</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DEHESA DÁVILA, op. cit.</w:t>
      </w:r>
      <w:r>
        <w:rPr>
          <w:rFonts w:ascii="Arial" w:hAnsi="Arial"/>
          <w:i w:val="0"/>
          <w:sz w:val="20"/>
        </w:rPr>
        <w:t>, p. 564.</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113.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114.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35.</w:t>
      </w:r>
    </w:p>
    <w:p/>
    <w:p>
      <w:r>
        <w:rPr>
          <w:rFonts w:ascii="Arial" w:hAnsi="Arial"/>
          <w:b/>
          <w:sz w:val="22"/>
        </w:rPr>
        <w:t>BIBLIOGRAFÍA</w:t>
      </w:r>
    </w:p>
    <w:p>
      <w:pPr>
        <w:spacing w:after="60"/>
        <w:ind w:left="360" w:hanging="360"/>
        <w:jc w:val="both"/>
      </w:pP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