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rial" w:hAnsi="Arial"/>
          <w:b/>
          <w:sz w:val="28"/>
        </w:rPr>
        <w:t>MACHOTE. DEMANDA DE NULIDAD POR PRESCRIPCIÓN DEL CRÉDITO FISCAL</w:t>
      </w:r>
    </w:p>
    <w:p>
      <w:pPr>
        <w:jc w:val="center"/>
      </w:pPr>
      <w:r>
        <w:rPr>
          <w:rFonts w:ascii="Arial" w:hAnsi="Arial"/>
          <w:sz w:val="20"/>
        </w:rPr>
        <w:t>Machote gratuito de Academia de Amparo y Derecho — academiadeamparo.com</w:t>
      </w:r>
    </w:p>
    <w:p/>
    <w:p>
      <w:r>
        <w:rPr>
          <w:rFonts w:ascii="Arial" w:hAnsi="Arial"/>
          <w:b/>
          <w:sz w:val="24"/>
        </w:rPr>
        <w:t>CÓMO USAR ESTE MACHOTE</w:t>
      </w:r>
    </w:p>
    <w:p>
      <w:pPr>
        <w:spacing w:line="360" w:lineRule="auto"/>
        <w:jc w:val="both"/>
      </w:pPr>
      <w:r>
        <w:rPr>
          <w:rFonts w:ascii="Arial" w:hAnsi="Arial"/>
          <w:b w:val="0"/>
          <w:i w:val="0"/>
          <w:sz w:val="24"/>
        </w:rPr>
        <w:t>Primero identifica en el expediente administrativo el oficio que determinó el crédito y la constancia de su notificación: de ahí salen las fechas que sostienen todo el cómputo. Después llena los campos del machote en orden, verifica que la fecha de exigibilidad sea anterior al 1 de enero de 2005 (o ajusta la premisa al tope de diez años si es posterior) y revisa que ninguna causal real de suspensión aplique a tu caso. Inserta el concepto en el capítulo correspondiente de tu demanda de nulidad y ofrece como prueba el expediente administrativo.</w:t>
      </w:r>
    </w:p>
    <w:p>
      <w:pPr>
        <w:spacing w:line="360" w:lineRule="auto"/>
        <w:jc w:val="both"/>
      </w:pPr>
      <w:r>
        <w:rPr>
          <w:rFonts w:ascii="Arial" w:hAnsi="Arial"/>
          <w:b/>
          <w:i w:val="0"/>
          <w:sz w:val="24"/>
        </w:rPr>
        <w:t>[NOMBRE DE LA PARTE ACTORA]</w:t>
      </w:r>
      <w:r>
        <w:rPr>
          <w:rFonts w:ascii="Arial" w:hAnsi="Arial"/>
          <w:b w:val="0"/>
          <w:i w:val="0"/>
          <w:sz w:val="24"/>
        </w:rPr>
        <w:t>: nombre completo de tu cliente, tal como aparece en la resolución impugnada.</w:t>
      </w:r>
    </w:p>
    <w:p>
      <w:pPr>
        <w:spacing w:line="360" w:lineRule="auto"/>
        <w:jc w:val="both"/>
      </w:pPr>
      <w:r>
        <w:rPr>
          <w:rFonts w:ascii="Arial" w:hAnsi="Arial"/>
          <w:b/>
          <w:i w:val="0"/>
          <w:sz w:val="24"/>
        </w:rPr>
        <w:t>[AUTORIDAD DEMANDADA]</w:t>
      </w:r>
      <w:r>
        <w:rPr>
          <w:rFonts w:ascii="Arial" w:hAnsi="Arial"/>
          <w:b w:val="0"/>
          <w:i w:val="0"/>
          <w:sz w:val="24"/>
        </w:rPr>
        <w:t>: la administración desconcentrada de recaudación u órgano del SAT que ordenó el cobro.</w:t>
      </w:r>
    </w:p>
    <w:p>
      <w:pPr>
        <w:spacing w:line="360" w:lineRule="auto"/>
        <w:jc w:val="both"/>
      </w:pPr>
      <w:r>
        <w:rPr>
          <w:rFonts w:ascii="Arial" w:hAnsi="Arial"/>
          <w:b/>
          <w:i w:val="0"/>
          <w:sz w:val="24"/>
        </w:rPr>
        <w:t>[NÚMERO DEL OFICIO DETERMINANTE DEL CRÉDITO]</w:t>
      </w:r>
      <w:r>
        <w:rPr>
          <w:rFonts w:ascii="Arial" w:hAnsi="Arial"/>
          <w:b w:val="0"/>
          <w:i w:val="0"/>
          <w:sz w:val="24"/>
        </w:rPr>
        <w:t>: el oficio que liquidó el crédito fiscal de origen.</w:t>
      </w:r>
    </w:p>
    <w:p>
      <w:pPr>
        <w:spacing w:line="360" w:lineRule="auto"/>
        <w:jc w:val="both"/>
      </w:pPr>
      <w:r>
        <w:rPr>
          <w:rFonts w:ascii="Arial" w:hAnsi="Arial"/>
          <w:b/>
          <w:i w:val="0"/>
          <w:sz w:val="24"/>
        </w:rPr>
        <w:t>[FECHA DE EMISIÓN DEL CRÉDITO]</w:t>
      </w:r>
      <w:r>
        <w:rPr>
          <w:rFonts w:ascii="Arial" w:hAnsi="Arial"/>
          <w:b w:val="0"/>
          <w:i w:val="0"/>
          <w:sz w:val="24"/>
        </w:rPr>
        <w:t>: fecha de ese oficio determinante.</w:t>
      </w:r>
    </w:p>
    <w:p>
      <w:pPr>
        <w:spacing w:line="360" w:lineRule="auto"/>
        <w:jc w:val="both"/>
      </w:pPr>
      <w:r>
        <w:rPr>
          <w:rFonts w:ascii="Arial" w:hAnsi="Arial"/>
          <w:b/>
          <w:i w:val="0"/>
          <w:sz w:val="24"/>
        </w:rPr>
        <w:t>[FECHA DE NOTIFICACIÓN DEL CRÉDITO]</w:t>
      </w:r>
      <w:r>
        <w:rPr>
          <w:rFonts w:ascii="Arial" w:hAnsi="Arial"/>
          <w:b w:val="0"/>
          <w:i w:val="0"/>
          <w:sz w:val="24"/>
        </w:rPr>
        <w:t>: día en que se notificó el crédito, según el acta respectiva.</w:t>
      </w:r>
    </w:p>
    <w:p>
      <w:pPr>
        <w:spacing w:line="360" w:lineRule="auto"/>
        <w:jc w:val="both"/>
      </w:pPr>
      <w:r>
        <w:rPr>
          <w:rFonts w:ascii="Arial" w:hAnsi="Arial"/>
          <w:b/>
          <w:i w:val="0"/>
          <w:sz w:val="24"/>
        </w:rPr>
        <w:t>[FECHA EN QUE EL CRÉDITO SE HIZO EXIGIBLE]</w:t>
      </w:r>
      <w:r>
        <w:rPr>
          <w:rFonts w:ascii="Arial" w:hAnsi="Arial"/>
          <w:b w:val="0"/>
          <w:i w:val="0"/>
          <w:sz w:val="24"/>
        </w:rPr>
        <w:t>: al vencer el plazo legal de pago posterior a la notificación.</w:t>
      </w:r>
    </w:p>
    <w:p>
      <w:pPr>
        <w:spacing w:line="360" w:lineRule="auto"/>
        <w:jc w:val="both"/>
      </w:pPr>
      <w:r>
        <w:rPr>
          <w:rFonts w:ascii="Arial" w:hAnsi="Arial"/>
          <w:b/>
          <w:i w:val="0"/>
          <w:sz w:val="24"/>
        </w:rPr>
        <w:t>[NÚMERO DEL OFICIO DE COBRO IMPUGNADO]</w:t>
      </w:r>
      <w:r>
        <w:rPr>
          <w:rFonts w:ascii="Arial" w:hAnsi="Arial"/>
          <w:b w:val="0"/>
          <w:i w:val="0"/>
          <w:sz w:val="24"/>
        </w:rPr>
        <w:t>: el oficio de inmovilización o requerimiento que combates.</w:t>
      </w:r>
    </w:p>
    <w:p>
      <w:pPr>
        <w:spacing w:line="360" w:lineRule="auto"/>
        <w:jc w:val="both"/>
      </w:pPr>
      <w:r>
        <w:rPr>
          <w:rFonts w:ascii="Arial" w:hAnsi="Arial"/>
          <w:b/>
          <w:i w:val="0"/>
          <w:sz w:val="24"/>
        </w:rPr>
        <w:t>[FECHA DEL OFICIO DE COBRO IMPUGNADO]</w:t>
      </w:r>
      <w:r>
        <w:rPr>
          <w:rFonts w:ascii="Arial" w:hAnsi="Arial"/>
          <w:b w:val="0"/>
          <w:i w:val="0"/>
          <w:sz w:val="24"/>
        </w:rPr>
        <w:t>: fecha de emisión de ese acto.</w:t>
      </w:r>
    </w:p>
    <w:p>
      <w:pPr>
        <w:spacing w:line="360" w:lineRule="auto"/>
        <w:jc w:val="both"/>
      </w:pPr>
      <w:r>
        <w:rPr>
          <w:rFonts w:ascii="Arial" w:hAnsi="Arial"/>
          <w:b/>
          <w:i w:val="0"/>
          <w:sz w:val="24"/>
        </w:rPr>
        <w:t>[FECHA DE NOTIFICACIÓN DEL ACTO IMPUGNADO]</w:t>
      </w:r>
      <w:r>
        <w:rPr>
          <w:rFonts w:ascii="Arial" w:hAnsi="Arial"/>
          <w:b w:val="0"/>
          <w:i w:val="0"/>
          <w:sz w:val="24"/>
        </w:rPr>
        <w:t>: día en que tu cliente lo conoció; marca la oportunidad de la demanda.</w:t>
      </w:r>
    </w:p>
    <w:p>
      <w:pPr>
        <w:spacing w:line="360" w:lineRule="auto"/>
        <w:jc w:val="both"/>
      </w:pPr>
      <w:r>
        <w:rPr>
          <w:rFonts w:ascii="Arial" w:hAnsi="Arial"/>
          <w:b/>
          <w:i w:val="0"/>
          <w:sz w:val="24"/>
        </w:rPr>
        <w:t>[INSTITUCIÓN DE CRÉDITO]</w:t>
      </w:r>
      <w:r>
        <w:rPr>
          <w:rFonts w:ascii="Arial" w:hAnsi="Arial"/>
          <w:b w:val="0"/>
          <w:i w:val="0"/>
          <w:sz w:val="24"/>
        </w:rPr>
        <w:t>: banco o bancos donde se inmovilizaron las cuentas.</w:t>
      </w:r>
    </w:p>
    <w:p>
      <w:pPr>
        <w:spacing w:line="360" w:lineRule="auto"/>
        <w:jc w:val="both"/>
      </w:pPr>
      <w:r>
        <w:rPr>
          <w:rFonts w:ascii="Arial" w:hAnsi="Arial"/>
          <w:b/>
          <w:i w:val="0"/>
          <w:sz w:val="24"/>
        </w:rPr>
        <w:t>[MONTO DEL CRÉDITO FISCAL]</w:t>
      </w:r>
      <w:r>
        <w:rPr>
          <w:rFonts w:ascii="Arial" w:hAnsi="Arial"/>
          <w:b w:val="0"/>
          <w:i w:val="0"/>
          <w:sz w:val="24"/>
        </w:rPr>
        <w:t>: cantidad hasta por la que se ordenó la inmovilización.</w:t>
      </w:r>
    </w:p>
    <w:p>
      <w:pPr>
        <w:spacing w:line="360" w:lineRule="auto"/>
        <w:jc w:val="both"/>
      </w:pPr>
      <w:r>
        <w:rPr>
          <w:rFonts w:ascii="Arial" w:hAnsi="Arial"/>
          <w:b/>
          <w:i w:val="0"/>
          <w:sz w:val="24"/>
        </w:rPr>
        <w:t>[EJERCICIO FISCAL LIQUIDADO]</w:t>
      </w:r>
      <w:r>
        <w:rPr>
          <w:rFonts w:ascii="Arial" w:hAnsi="Arial"/>
          <w:b w:val="0"/>
          <w:i w:val="0"/>
          <w:sz w:val="24"/>
        </w:rPr>
        <w:t>: ejercicio al que corresponde el adeudo.</w:t>
      </w:r>
    </w:p>
    <w:p>
      <w:pPr>
        <w:spacing w:line="360" w:lineRule="auto"/>
        <w:jc w:val="both"/>
      </w:pPr>
      <w:r>
        <w:rPr>
          <w:rFonts w:ascii="Arial" w:hAnsi="Arial"/>
          <w:b/>
          <w:i w:val="0"/>
          <w:sz w:val="24"/>
        </w:rPr>
        <w:t>[FOJAS DEL EXPEDIENTE ADMINISTRATIVO]</w:t>
      </w:r>
      <w:r>
        <w:rPr>
          <w:rFonts w:ascii="Arial" w:hAnsi="Arial"/>
          <w:b w:val="0"/>
          <w:i w:val="0"/>
          <w:sz w:val="24"/>
        </w:rPr>
        <w:t>: folios donde constan el crédito y su notificación.</w:t>
      </w:r>
    </w:p>
    <w:p>
      <w:pPr>
        <w:spacing w:line="360" w:lineRule="auto"/>
        <w:jc w:val="both"/>
      </w:pPr>
      <w:r>
        <w:rPr>
          <w:rFonts w:ascii="Arial" w:hAnsi="Arial"/>
          <w:b/>
          <w:i w:val="0"/>
          <w:sz w:val="24"/>
        </w:rPr>
        <w:t>[SALA REGIONAL COMPETENTE]</w:t>
      </w:r>
      <w:r>
        <w:rPr>
          <w:rFonts w:ascii="Arial" w:hAnsi="Arial"/>
          <w:b w:val="0"/>
          <w:i w:val="0"/>
          <w:sz w:val="24"/>
        </w:rPr>
        <w:t>: Sala Regional del TFJA que conocerá del juicio.</w:t>
      </w:r>
    </w:p>
    <w:p/>
    <w:p>
      <w:pPr>
        <w:spacing w:line="360" w:lineRule="auto"/>
        <w:jc w:val="both"/>
      </w:pPr>
      <w:r>
        <w:rPr>
          <w:rFonts w:ascii="Arial" w:hAnsi="Arial"/>
          <w:b/>
          <w:sz w:val="28"/>
        </w:rPr>
        <w:t>CONCEPTO DE IMPUGNACIÓN ÚNICO. ILEGALIDAD DE LA INMOVILIZACIÓN DE CUENTAS BANCARIAS Y DE TODO ACTO DE COBRO, POR DERIVAR DE UN CRÉDITO FISCAL EXTINGUIDO POR PRESCRIPCIÓN, EN CONTRAVENCIÓN A LOS ARTÍCULOS 146 DEL CÓDIGO FISCAL DE LA FEDERACIÓN Y SEGUNDO TRANSITORIO, FRACCIÓN X, DEL DECRETO DE REFORMAS PUBLICADO EN EL DIARIO OFICIAL DE LA FEDERACIÓN EL NUEVE DE DICIEMBRE DE DOS MIL TRECE, LO QUE ACTUALIZA LA CAUSAL DE NULIDAD PREVISTA EN EL ARTÍCULO 51, FRACCIÓN IV, DE LA LEY FEDERAL DE PROCEDIMIENTO CONTENCIOSO ADMINISTRATIVO.</w:t>
      </w:r>
    </w:p>
    <w:p>
      <w:pPr>
        <w:spacing w:line="360" w:lineRule="auto"/>
        <w:jc w:val="both"/>
      </w:pPr>
      <w:r>
        <w:rPr>
          <w:rFonts w:ascii="Arial" w:hAnsi="Arial"/>
          <w:b/>
          <w:sz w:val="28"/>
        </w:rPr>
        <w:t>I. Síntesis.</w:t>
      </w:r>
    </w:p>
    <w:p>
      <w:pPr>
        <w:spacing w:line="360" w:lineRule="auto"/>
        <w:jc w:val="both"/>
      </w:pPr>
      <w:r>
        <w:rPr>
          <w:rFonts w:ascii="Arial" w:hAnsi="Arial"/>
          <w:b w:val="0"/>
          <w:i w:val="0"/>
          <w:sz w:val="28"/>
        </w:rPr>
        <w:t xml:space="preserve">Este concepto de impugnación demostrará que la resolución contenida en el oficio </w:t>
      </w:r>
      <w:r>
        <w:rPr>
          <w:rFonts w:ascii="Arial" w:hAnsi="Arial"/>
          <w:b/>
          <w:i w:val="0"/>
          <w:sz w:val="28"/>
        </w:rPr>
        <w:t>[NÚMERO DEL OFICIO DE COBRO IMPUGNADO]</w:t>
      </w:r>
      <w:r>
        <w:rPr>
          <w:rFonts w:ascii="Arial" w:hAnsi="Arial"/>
          <w:b w:val="0"/>
          <w:i w:val="0"/>
          <w:sz w:val="28"/>
        </w:rPr>
        <w:t xml:space="preserve">, de fecha </w:t>
      </w:r>
      <w:r>
        <w:rPr>
          <w:rFonts w:ascii="Arial" w:hAnsi="Arial"/>
          <w:b/>
          <w:i w:val="0"/>
          <w:sz w:val="28"/>
        </w:rPr>
        <w:t>[FECHA DEL OFICIO DE COBRO IMPUGNADO]</w:t>
      </w:r>
      <w:r>
        <w:rPr>
          <w:rFonts w:ascii="Arial" w:hAnsi="Arial"/>
          <w:b w:val="0"/>
          <w:i w:val="0"/>
          <w:sz w:val="28"/>
        </w:rPr>
        <w:t xml:space="preserve">, por la que la </w:t>
      </w:r>
      <w:r>
        <w:rPr>
          <w:rFonts w:ascii="Arial" w:hAnsi="Arial"/>
          <w:b/>
          <w:i w:val="0"/>
          <w:sz w:val="28"/>
        </w:rPr>
        <w:t>[AUTORIDAD DEMANDADA]</w:t>
      </w:r>
      <w:r>
        <w:rPr>
          <w:rFonts w:ascii="Arial" w:hAnsi="Arial"/>
          <w:b w:val="0"/>
          <w:i w:val="0"/>
          <w:sz w:val="28"/>
        </w:rPr>
        <w:t xml:space="preserve"> ordenó la inmovilización de los depósitos bancarios de </w:t>
      </w:r>
      <w:r>
        <w:rPr>
          <w:rFonts w:ascii="Arial" w:hAnsi="Arial"/>
          <w:b/>
          <w:i w:val="0"/>
          <w:sz w:val="28"/>
        </w:rPr>
        <w:t>[NOMBRE DE LA PARTE ACTORA]</w:t>
      </w:r>
      <w:r>
        <w:rPr>
          <w:rFonts w:ascii="Arial" w:hAnsi="Arial"/>
          <w:b w:val="0"/>
          <w:i w:val="0"/>
          <w:sz w:val="28"/>
        </w:rPr>
        <w:t xml:space="preserve">, es ilegal en su origen, pues pretende hacer efectivo un crédito fiscal que ya no existe: el determinado en el oficio </w:t>
      </w:r>
      <w:r>
        <w:rPr>
          <w:rFonts w:ascii="Arial" w:hAnsi="Arial"/>
          <w:b/>
          <w:i w:val="0"/>
          <w:sz w:val="28"/>
        </w:rPr>
        <w:t>[NÚMERO DEL OFICIO DETERMINANTE DEL CRÉDITO]</w:t>
      </w:r>
      <w:r>
        <w:rPr>
          <w:rFonts w:ascii="Arial" w:hAnsi="Arial"/>
          <w:b w:val="0"/>
          <w:i w:val="0"/>
          <w:sz w:val="28"/>
        </w:rPr>
        <w:t>, extinguido por prescripción mucho antes de que la autoridad intentara cobrarlo.</w:t>
      </w:r>
    </w:p>
    <w:p>
      <w:pPr>
        <w:spacing w:line="360" w:lineRule="auto"/>
        <w:jc w:val="both"/>
      </w:pPr>
      <w:r>
        <w:rPr>
          <w:rFonts w:ascii="Arial" w:hAnsi="Arial"/>
          <w:b w:val="0"/>
          <w:i w:val="0"/>
          <w:sz w:val="28"/>
        </w:rPr>
        <w:t>La facultad económico-coactiva no puede ejercerse válidamente sobre adeudos extinguidos; por ello, esa Sala deberá declarar consumada la prescripción del crédito fiscal de origen y, como consecuencia lógica, la nulidad lisa y llana de los actos de ejecución impugnados, con la condena a la liberación efectiva de las cuentas bancarias. Se trata, además, del planteamiento de mayor beneficio, pues su acogimiento elimina de raíz toda afectación derivada del crédito, sin necesidad de examinar los vicios propios de las diligencias de cobro.</w:t>
      </w:r>
    </w:p>
    <w:p>
      <w:pPr>
        <w:spacing w:line="360" w:lineRule="auto"/>
        <w:jc w:val="both"/>
      </w:pPr>
      <w:r>
        <w:rPr>
          <w:rFonts w:ascii="Arial" w:hAnsi="Arial"/>
          <w:b/>
          <w:sz w:val="28"/>
        </w:rPr>
        <w:t>II. Planteamiento.</w:t>
      </w:r>
    </w:p>
    <w:p>
      <w:pPr>
        <w:spacing w:line="360" w:lineRule="auto"/>
        <w:jc w:val="both"/>
      </w:pPr>
      <w:r>
        <w:rPr>
          <w:rFonts w:ascii="Arial" w:hAnsi="Arial"/>
          <w:b w:val="0"/>
          <w:i w:val="0"/>
          <w:sz w:val="28"/>
        </w:rPr>
        <w:t xml:space="preserve">La resolución impugnada fue notificada a la parte actora el </w:t>
      </w:r>
      <w:r>
        <w:rPr>
          <w:rFonts w:ascii="Arial" w:hAnsi="Arial"/>
          <w:b/>
          <w:i w:val="0"/>
          <w:sz w:val="28"/>
        </w:rPr>
        <w:t>[FECHA DE NOTIFICACIÓN DEL ACTO IMPUGNADO]</w:t>
      </w:r>
      <w:r>
        <w:rPr>
          <w:rFonts w:ascii="Arial" w:hAnsi="Arial"/>
          <w:b w:val="0"/>
          <w:i w:val="0"/>
          <w:sz w:val="28"/>
        </w:rPr>
        <w:t xml:space="preserve">, por lo que la presente demanda de nulidad se presenta dentro del plazo de treinta días que establece el artículo 58-2, párrafo tercero, de la Ley Federal de Procedimiento Contencioso Administrativo. Mediante ese acto, la </w:t>
      </w:r>
      <w:r>
        <w:rPr>
          <w:rFonts w:ascii="Arial" w:hAnsi="Arial"/>
          <w:b/>
          <w:i w:val="0"/>
          <w:sz w:val="28"/>
        </w:rPr>
        <w:t>[AUTORIDAD DEMANDADA]</w:t>
      </w:r>
      <w:r>
        <w:rPr>
          <w:rFonts w:ascii="Arial" w:hAnsi="Arial"/>
          <w:b w:val="0"/>
          <w:i w:val="0"/>
          <w:sz w:val="28"/>
        </w:rPr>
        <w:t xml:space="preserve"> comunicó a </w:t>
      </w:r>
      <w:r>
        <w:rPr>
          <w:rFonts w:ascii="Arial" w:hAnsi="Arial"/>
          <w:b/>
          <w:i w:val="0"/>
          <w:sz w:val="28"/>
        </w:rPr>
        <w:t>[NOMBRE DE LA PARTE ACTORA]</w:t>
      </w:r>
      <w:r>
        <w:rPr>
          <w:rFonts w:ascii="Arial" w:hAnsi="Arial"/>
          <w:b w:val="0"/>
          <w:i w:val="0"/>
          <w:sz w:val="28"/>
        </w:rPr>
        <w:t xml:space="preserve"> que las cuentas abiertas a su nombre en </w:t>
      </w:r>
      <w:r>
        <w:rPr>
          <w:rFonts w:ascii="Arial" w:hAnsi="Arial"/>
          <w:b/>
          <w:i w:val="0"/>
          <w:sz w:val="28"/>
        </w:rPr>
        <w:t>[INSTITUCIÓN DE CRÉDITO]</w:t>
      </w:r>
      <w:r>
        <w:rPr>
          <w:rFonts w:ascii="Arial" w:hAnsi="Arial"/>
          <w:b w:val="0"/>
          <w:i w:val="0"/>
          <w:sz w:val="28"/>
        </w:rPr>
        <w:t xml:space="preserve"> quedaron inmovilizadas hasta por </w:t>
      </w:r>
      <w:r>
        <w:rPr>
          <w:rFonts w:ascii="Arial" w:hAnsi="Arial"/>
          <w:b/>
          <w:i w:val="0"/>
          <w:sz w:val="28"/>
        </w:rPr>
        <w:t>[MONTO DEL CRÉDITO FISCAL]</w:t>
      </w:r>
      <w:r>
        <w:rPr>
          <w:rFonts w:ascii="Arial" w:hAnsi="Arial"/>
          <w:b w:val="0"/>
          <w:i w:val="0"/>
          <w:sz w:val="28"/>
        </w:rPr>
        <w:t>.</w:t>
      </w:r>
    </w:p>
    <w:p>
      <w:pPr>
        <w:spacing w:line="360" w:lineRule="auto"/>
        <w:jc w:val="both"/>
      </w:pPr>
      <w:r>
        <w:rPr>
          <w:rFonts w:ascii="Arial" w:hAnsi="Arial"/>
          <w:b w:val="0"/>
          <w:i w:val="0"/>
          <w:sz w:val="28"/>
        </w:rPr>
        <w:t xml:space="preserve">Dicha inmovilización tiene como única causa el crédito fiscal contenido en el oficio </w:t>
      </w:r>
      <w:r>
        <w:rPr>
          <w:rFonts w:ascii="Arial" w:hAnsi="Arial"/>
          <w:b/>
          <w:i w:val="0"/>
          <w:sz w:val="28"/>
        </w:rPr>
        <w:t>[NÚMERO DEL OFICIO DETERMINANTE DEL CRÉDITO]</w:t>
      </w:r>
      <w:r>
        <w:rPr>
          <w:rFonts w:ascii="Arial" w:hAnsi="Arial"/>
          <w:b w:val="0"/>
          <w:i w:val="0"/>
          <w:sz w:val="28"/>
        </w:rPr>
        <w:t xml:space="preserve">, de fecha </w:t>
      </w:r>
      <w:r>
        <w:rPr>
          <w:rFonts w:ascii="Arial" w:hAnsi="Arial"/>
          <w:b/>
          <w:i w:val="0"/>
          <w:sz w:val="28"/>
        </w:rPr>
        <w:t>[FECHA DE EMISIÓN DEL CRÉDITO]</w:t>
      </w:r>
      <w:r>
        <w:rPr>
          <w:rFonts w:ascii="Arial" w:hAnsi="Arial"/>
          <w:b w:val="0"/>
          <w:i w:val="0"/>
          <w:sz w:val="28"/>
        </w:rPr>
        <w:t xml:space="preserve">, liquidado por el </w:t>
      </w:r>
      <w:r>
        <w:rPr>
          <w:rFonts w:ascii="Arial" w:hAnsi="Arial"/>
          <w:b/>
          <w:i w:val="0"/>
          <w:sz w:val="28"/>
        </w:rPr>
        <w:t>[EJERCICIO FISCAL LIQUIDADO]</w:t>
      </w:r>
      <w:r>
        <w:rPr>
          <w:rFonts w:ascii="Arial" w:hAnsi="Arial"/>
          <w:b w:val="0"/>
          <w:i w:val="0"/>
          <w:sz w:val="28"/>
        </w:rPr>
        <w:t>; de manera que la suerte de los actos de cobro depende por entero de la existencia jurídica de ese adeudo, la cual, como se demostrará, cesó por prescripción.</w:t>
      </w:r>
    </w:p>
    <w:p>
      <w:pPr>
        <w:spacing w:line="360" w:lineRule="auto"/>
        <w:jc w:val="both"/>
      </w:pPr>
      <w:r>
        <w:rPr>
          <w:rFonts w:ascii="Arial" w:hAnsi="Arial"/>
          <w:b w:val="0"/>
          <w:i w:val="0"/>
          <w:sz w:val="28"/>
        </w:rPr>
        <w:t>El juicio es procedente sin esperar a la publicación de la convocatoria de remate, porque no se combaten las diligencias del procedimiento administrativo de ejecución por vicios propios, sino que se opone la extinción del crédito que les sirve de causa, hipótesis prevista en el artículo 117, fracción II, inciso a), del Código Fiscal de la Federación, cuyo recurso de revocación es optativo conforme al artículo 120 del mismo ordenamiento; la limitante temporal del artículo 127 del propio código rige únicamente los supuestos del inciso b) de aquella fracción, como lo ha sostenido la Sala Superior de ese Tribunal.</w:t>
      </w:r>
    </w:p>
    <w:p>
      <w:pPr>
        <w:spacing w:line="360" w:lineRule="auto"/>
        <w:jc w:val="both"/>
      </w:pPr>
      <w:r>
        <w:rPr>
          <w:rFonts w:ascii="Arial" w:hAnsi="Arial"/>
          <w:b w:val="0"/>
          <w:i w:val="0"/>
          <w:sz w:val="28"/>
        </w:rPr>
        <w:t>Las normas vulneradas son el artículo 146 del Código Fiscal de la Federación, en su texto vigente cuando el crédito nació y se hizo exigible, y el artículo segundo transitorio, fracción X, del decreto de reformas publicado en el Diario Oficial de la Federación el nueve de diciembre de dos mil trece. El perjuicio es directo e inmediato: la parte actora está privada del acceso a los recursos depositados en sus cuentas con motivo de un adeudo jurídicamente inexistente, en detrimento de la seguridad jurídica que tutelan los artículos 14 y 16 constitucionales.</w:t>
      </w:r>
    </w:p>
    <w:p>
      <w:pPr>
        <w:spacing w:line="360" w:lineRule="auto"/>
        <w:jc w:val="both"/>
      </w:pPr>
      <w:r>
        <w:rPr>
          <w:rFonts w:ascii="Arial" w:hAnsi="Arial"/>
          <w:b/>
          <w:sz w:val="28"/>
        </w:rPr>
        <w:t>III. Desarrollo normativo y doctrinal: la premisa mayor.</w:t>
      </w:r>
    </w:p>
    <w:p>
      <w:pPr>
        <w:spacing w:line="360" w:lineRule="auto"/>
        <w:jc w:val="both"/>
      </w:pPr>
      <w:r>
        <w:rPr>
          <w:rFonts w:ascii="Arial" w:hAnsi="Arial"/>
          <w:b w:val="0"/>
          <w:i w:val="0"/>
          <w:sz w:val="28"/>
        </w:rPr>
        <w:t xml:space="preserve">La prescripción es un medio de extinción de los créditos fiscales por el simple transcurso del tiempo. El artículo 146, primer párrafo, del Código Fiscal de la Federación dispone que </w:t>
      </w:r>
      <w:r>
        <w:rPr>
          <w:rFonts w:ascii="Arial" w:hAnsi="Arial"/>
          <w:b w:val="0"/>
          <w:i/>
          <w:sz w:val="28"/>
        </w:rPr>
        <w:t>«el crédito fiscal se extingue por prescripción en el término de cinco años»</w:t>
      </w:r>
      <w:r>
        <w:rPr>
          <w:rFonts w:ascii="Arial" w:hAnsi="Arial"/>
          <w:b w:val="0"/>
          <w:i w:val="0"/>
          <w:sz w:val="28"/>
        </w:rPr>
        <w:t>, contados a partir de la fecha en que el pago pudo ser legalmente exigido, y que la figura puede oponerse como excepción en los medios de defensa. La doctrina constitucional enseña que las situaciones jurídicas consolidadas por prescripción encuentran su fundamento en el principio de seguridad jurídica.</w:t>
      </w:r>
      <w:r>
        <w:rPr>
          <w:rFonts w:ascii="Arial" w:hAnsi="Arial"/>
          <w:vertAlign w:val="superscript"/>
        </w:rPr>
        <w:t>1</w:t>
      </w:r>
    </w:p>
    <w:p>
      <w:pPr>
        <w:spacing w:line="360" w:lineRule="auto"/>
        <w:jc w:val="both"/>
      </w:pPr>
      <w:r>
        <w:rPr>
          <w:rFonts w:ascii="Arial" w:hAnsi="Arial"/>
          <w:b w:val="0"/>
          <w:i w:val="0"/>
          <w:sz w:val="28"/>
        </w:rPr>
        <w:t>Por tratarse de una norma sustantiva, que extingue un derecho y libera de la obligación correlativa, el cómputo se rige por el texto legal vigente en la época en que el crédito nació y se hizo exigible. Conforme a ese texto, el plazo sólo se interrumpe con cada gestión de cobro notificada o hecha saber al deudor, o con el reconocimiento expreso o tácito del adeudo, y sólo se suspende cuando se suspende el procedimiento administrativo de ejecución en los términos del artículo 144 del propio código.</w:t>
      </w:r>
    </w:p>
    <w:p>
      <w:pPr>
        <w:spacing w:line="360" w:lineRule="auto"/>
        <w:jc w:val="both"/>
      </w:pPr>
      <w:r>
        <w:rPr>
          <w:rFonts w:ascii="Arial" w:hAnsi="Arial"/>
          <w:b w:val="0"/>
          <w:i w:val="0"/>
          <w:sz w:val="28"/>
        </w:rPr>
        <w:t>Ese artículo 144 contempla hipótesis precisas de suspensión: que se garantice el interés fiscal satisfaciendo los requisitos legales, que se acredite la impugnación intentada con la garantía correspondiente, o que los tribunales competentes notifiquen a las autoridades fiscales sentencia de concurso mercantil. Fuera de esos supuestos, ninguna vicisitud práctica detiene el curso del término extintivo.</w:t>
      </w:r>
    </w:p>
    <w:p>
      <w:pPr>
        <w:spacing w:line="360" w:lineRule="auto"/>
        <w:jc w:val="both"/>
      </w:pPr>
      <w:r>
        <w:rPr>
          <w:rFonts w:ascii="Arial" w:hAnsi="Arial"/>
          <w:b w:val="0"/>
          <w:i w:val="0"/>
          <w:sz w:val="28"/>
        </w:rPr>
        <w:t xml:space="preserve">Mediante el decreto publicado en el Diario Oficial de la Federación el nueve de diciembre de dos mil trece, en vigor a partir del primero de enero de dos mil catorce, el legislador añadió al artículo 146 un quinto párrafo conforme al cual el plazo para que se configure la prescripción, </w:t>
      </w:r>
      <w:r>
        <w:rPr>
          <w:rFonts w:ascii="Arial" w:hAnsi="Arial"/>
          <w:b w:val="0"/>
          <w:i/>
          <w:sz w:val="28"/>
        </w:rPr>
        <w:t>«en ningún caso, incluyendo cuando este se haya interrumpido, podrá exceder de diez años contados a partir de que el crédito fiscal pudo ser legalmente exigido»</w:t>
      </w:r>
      <w:r>
        <w:rPr>
          <w:rFonts w:ascii="Arial" w:hAnsi="Arial"/>
          <w:b w:val="0"/>
          <w:i w:val="0"/>
          <w:sz w:val="28"/>
        </w:rPr>
        <w:t>, sin computar los periodos de suspensión.</w:t>
      </w:r>
    </w:p>
    <w:p>
      <w:pPr>
        <w:spacing w:line="360" w:lineRule="auto"/>
        <w:jc w:val="both"/>
      </w:pPr>
      <w:r>
        <w:rPr>
          <w:rFonts w:ascii="Arial" w:hAnsi="Arial"/>
          <w:b w:val="0"/>
          <w:i w:val="0"/>
          <w:sz w:val="28"/>
        </w:rPr>
        <w:t>La finalidad de esa reforma quedó plasmada en su proceso legislativo: impedir que las autoridades hacendarias, mediante gestiones de cobro sucesivas, reiniciaran indefinidamente el término extintivo y manipularan a su arbitrio el tiempo de vida del adeudo. El argumento teleológico, que atiende al espíritu y a la finalidad de la ley antes que a su pura literalidad, obliga a leer estos preceptos como un verdadero límite temporal a la facultad económico-coactiva del Estado.</w:t>
      </w:r>
      <w:r>
        <w:rPr>
          <w:rFonts w:ascii="Arial" w:hAnsi="Arial"/>
          <w:vertAlign w:val="superscript"/>
        </w:rPr>
        <w:t>2</w:t>
      </w:r>
    </w:p>
    <w:p>
      <w:pPr>
        <w:spacing w:line="360" w:lineRule="auto"/>
        <w:jc w:val="both"/>
      </w:pPr>
      <w:r>
        <w:rPr>
          <w:rFonts w:ascii="Arial" w:hAnsi="Arial"/>
          <w:b w:val="0"/>
          <w:i w:val="0"/>
          <w:sz w:val="28"/>
        </w:rPr>
        <w:t xml:space="preserve">Para los créditos que se hicieron exigibles antes del primero de enero de dos mil cinco, el artículo segundo transitorio, fracción X, del propio decreto fijó una regla especial: el Servicio de Administración Tributaria contó con </w:t>
      </w:r>
      <w:r>
        <w:rPr>
          <w:rFonts w:ascii="Arial" w:hAnsi="Arial"/>
          <w:b w:val="0"/>
          <w:i/>
          <w:sz w:val="28"/>
        </w:rPr>
        <w:t>«un plazo máximo de dos años para hacer efectivo el cobro de dichos créditos contados a partir de la entrada en vigor del presente Decreto»</w:t>
      </w:r>
      <w:r>
        <w:rPr>
          <w:rFonts w:ascii="Arial" w:hAnsi="Arial"/>
          <w:b w:val="0"/>
          <w:i w:val="0"/>
          <w:sz w:val="28"/>
        </w:rPr>
        <w:t>, término que venció el primero de enero de dos mil dieciséis y que únicamente podía suspenderse si el crédito se encontraba controvertido durante ese periodo.</w:t>
      </w:r>
    </w:p>
    <w:p>
      <w:pPr>
        <w:spacing w:line="360" w:lineRule="auto"/>
        <w:jc w:val="both"/>
      </w:pPr>
      <w:r>
        <w:rPr>
          <w:rFonts w:ascii="Arial" w:hAnsi="Arial"/>
          <w:b w:val="0"/>
          <w:i w:val="0"/>
          <w:sz w:val="28"/>
        </w:rPr>
        <w:t>Esa regla transitoria es una norma especial y, conforme al criterio de especialidad que la teoría de la argumentación reconoce como uno de los métodos clásicos de resolución de antinomias, la disposición especial prevalece sobre las reglas generales de interrupción y de suspensión del artículo 146.</w:t>
      </w:r>
      <w:r>
        <w:rPr>
          <w:rFonts w:ascii="Arial" w:hAnsi="Arial"/>
          <w:vertAlign w:val="superscript"/>
        </w:rPr>
        <w:t>3</w:t>
      </w:r>
      <w:r>
        <w:rPr>
          <w:rFonts w:ascii="Arial" w:hAnsi="Arial"/>
          <w:b w:val="0"/>
          <w:i w:val="0"/>
          <w:sz w:val="28"/>
        </w:rPr>
        <w:t xml:space="preserve"> Consumado el plazo de gracia sin gestión eficaz de cobro y sin controversia pendiente, el crédito anterior a dos mil cinco quedó extinguido, sin que ningún acto posterior pueda revivirlo.</w:t>
      </w:r>
    </w:p>
    <w:p>
      <w:pPr>
        <w:spacing w:line="360" w:lineRule="auto"/>
        <w:jc w:val="both"/>
      </w:pPr>
      <w:r>
        <w:rPr>
          <w:rFonts w:ascii="Arial" w:hAnsi="Arial"/>
          <w:b w:val="0"/>
          <w:i w:val="0"/>
          <w:sz w:val="28"/>
        </w:rPr>
        <w:t>Finalmente, las causales de interrupción y de suspensión no están al arbitrio de la autoridad: sólo operan las hipótesis expresamente previstas en el texto vigente en la época correspondiente. La desocupación del domicilio fiscal sin presentar el aviso de cambio fue introducida como causal de interrupción apenas por el decreto publicado en el Diario Oficial de la Federación el cinco de enero de dos mil cuatro, y sólo con la reforma de dos mil trece se transformó en causal de suspensión.</w:t>
      </w:r>
    </w:p>
    <w:p>
      <w:pPr>
        <w:spacing w:line="360" w:lineRule="auto"/>
        <w:jc w:val="both"/>
      </w:pPr>
      <w:r>
        <w:rPr>
          <w:rFonts w:ascii="Arial" w:hAnsi="Arial"/>
          <w:b w:val="0"/>
          <w:i w:val="0"/>
          <w:sz w:val="28"/>
        </w:rPr>
        <w:t>Por ello, aplicar esas hipótesis a créditos nacidos con anterioridad implica dar a la ley un efecto retroactivo en perjuicio de la persona contribuyente, proscrito por el artículo 14 constitucional.</w:t>
      </w:r>
    </w:p>
    <w:p>
      <w:pPr>
        <w:spacing w:line="360" w:lineRule="auto"/>
        <w:jc w:val="both"/>
      </w:pPr>
      <w:r>
        <w:rPr>
          <w:rFonts w:ascii="Arial" w:hAnsi="Arial"/>
          <w:b/>
          <w:sz w:val="28"/>
        </w:rPr>
        <w:t>IV. Aplicación al caso concreto y refutación de la defensa de la autoridad.</w:t>
      </w:r>
    </w:p>
    <w:p>
      <w:pPr>
        <w:spacing w:line="360" w:lineRule="auto"/>
        <w:jc w:val="both"/>
      </w:pPr>
      <w:r>
        <w:rPr>
          <w:rFonts w:ascii="Arial" w:hAnsi="Arial"/>
          <w:b w:val="0"/>
          <w:i w:val="0"/>
          <w:sz w:val="28"/>
        </w:rPr>
        <w:t xml:space="preserve">El crédito fiscal contenido en el oficio </w:t>
      </w:r>
      <w:r>
        <w:rPr>
          <w:rFonts w:ascii="Arial" w:hAnsi="Arial"/>
          <w:b/>
          <w:i w:val="0"/>
          <w:sz w:val="28"/>
        </w:rPr>
        <w:t>[NÚMERO DEL OFICIO DETERMINANTE DEL CRÉDITO]</w:t>
      </w:r>
      <w:r>
        <w:rPr>
          <w:rFonts w:ascii="Arial" w:hAnsi="Arial"/>
          <w:b w:val="0"/>
          <w:i w:val="0"/>
          <w:sz w:val="28"/>
        </w:rPr>
        <w:t xml:space="preserve"> fue notificado a la parte actora el </w:t>
      </w:r>
      <w:r>
        <w:rPr>
          <w:rFonts w:ascii="Arial" w:hAnsi="Arial"/>
          <w:b/>
          <w:i w:val="0"/>
          <w:sz w:val="28"/>
        </w:rPr>
        <w:t>[FECHA DE NOTIFICACIÓN DEL CRÉDITO]</w:t>
      </w:r>
      <w:r>
        <w:rPr>
          <w:rFonts w:ascii="Arial" w:hAnsi="Arial"/>
          <w:b w:val="0"/>
          <w:i w:val="0"/>
          <w:sz w:val="28"/>
        </w:rPr>
        <w:t xml:space="preserve"> y se hizo exigible el </w:t>
      </w:r>
      <w:r>
        <w:rPr>
          <w:rFonts w:ascii="Arial" w:hAnsi="Arial"/>
          <w:b/>
          <w:i w:val="0"/>
          <w:sz w:val="28"/>
        </w:rPr>
        <w:t>[FECHA EN QUE EL CRÉDITO SE HIZO EXIGIBLE]</w:t>
      </w:r>
      <w:r>
        <w:rPr>
          <w:rFonts w:ascii="Arial" w:hAnsi="Arial"/>
          <w:b w:val="0"/>
          <w:i w:val="0"/>
          <w:sz w:val="28"/>
        </w:rPr>
        <w:t xml:space="preserve">, una vez transcurrido el plazo de cuarenta y cinco días previsto en el artículo 144, primer párrafo, del Código Fiscal de la Federación, según consta a </w:t>
      </w:r>
      <w:r>
        <w:rPr>
          <w:rFonts w:ascii="Arial" w:hAnsi="Arial"/>
          <w:b/>
          <w:i w:val="0"/>
          <w:sz w:val="28"/>
        </w:rPr>
        <w:t>[FOJAS DEL EXPEDIENTE ADMINISTRATIVO]</w:t>
      </w:r>
      <w:r>
        <w:rPr>
          <w:rFonts w:ascii="Arial" w:hAnsi="Arial"/>
          <w:b w:val="0"/>
          <w:i w:val="0"/>
          <w:sz w:val="28"/>
        </w:rPr>
        <w:t xml:space="preserve"> del expediente administrativo, documental valorable en términos del artículo 46, fracción I, de la Ley Federal de Procedimiento Contencioso Administrativo.</w:t>
      </w:r>
    </w:p>
    <w:p>
      <w:pPr>
        <w:spacing w:line="360" w:lineRule="auto"/>
        <w:jc w:val="both"/>
      </w:pPr>
      <w:r>
        <w:rPr>
          <w:rFonts w:ascii="Arial" w:hAnsi="Arial"/>
          <w:b w:val="0"/>
          <w:i w:val="0"/>
          <w:sz w:val="28"/>
        </w:rPr>
        <w:t>Al tratarse de un crédito exigible con anterioridad al primero de enero de dos mil cinco, le resulta exactamente aplicable el artículo segundo transitorio, fracción X, del decreto de dos mil trece: la autoridad disponía, cuando mucho, hasta el primero de enero de dos mil dieciséis para ejecutar su cobro.</w:t>
      </w:r>
    </w:p>
    <w:p>
      <w:pPr>
        <w:spacing w:line="360" w:lineRule="auto"/>
        <w:jc w:val="both"/>
      </w:pPr>
      <w:r>
        <w:rPr>
          <w:rFonts w:ascii="Arial" w:hAnsi="Arial"/>
          <w:b w:val="0"/>
          <w:i w:val="0"/>
          <w:sz w:val="28"/>
        </w:rPr>
        <w:t>Del desglose cronológico del expediente administrativo se advierte que ninguna gestión de cobro eficaz fue notificada dentro de ese plazo de gracia y que la parte actora no controvirtió el crédito durante ese lapso, única hipótesis que habría suspendido el término. La prescripción se consumó, así, desde el dos de enero de dos mil dieciséis.</w:t>
      </w:r>
    </w:p>
    <w:p>
      <w:pPr>
        <w:spacing w:line="360" w:lineRule="auto"/>
        <w:jc w:val="both"/>
      </w:pPr>
      <w:r>
        <w:rPr>
          <w:rFonts w:ascii="Arial" w:hAnsi="Arial"/>
          <w:b w:val="0"/>
          <w:i w:val="0"/>
          <w:sz w:val="28"/>
        </w:rPr>
        <w:t xml:space="preserve">En consecuencia, la inmovilización de cuentas notificada el </w:t>
      </w:r>
      <w:r>
        <w:rPr>
          <w:rFonts w:ascii="Arial" w:hAnsi="Arial"/>
          <w:b/>
          <w:i w:val="0"/>
          <w:sz w:val="28"/>
        </w:rPr>
        <w:t>[FECHA DE NOTIFICACIÓN DEL ACTO IMPUGNADO]</w:t>
      </w:r>
      <w:r>
        <w:rPr>
          <w:rFonts w:ascii="Arial" w:hAnsi="Arial"/>
          <w:b w:val="0"/>
          <w:i w:val="0"/>
          <w:sz w:val="28"/>
        </w:rPr>
        <w:t xml:space="preserve"> pretende ejecutar un crédito extinguido años atrás. Los hechos que motivaron las resoluciones impugnadas fueron apreciados en forma equivocada y aquéllas se dictaron en contravención de las disposiciones aplicadas, lo que actualiza la causal de ilegalidad prevista en el artículo 51, fracción IV, de la Ley Federal de Procedimiento Contencioso Administrativo.</w:t>
      </w:r>
    </w:p>
    <w:p>
      <w:pPr>
        <w:spacing w:line="360" w:lineRule="auto"/>
        <w:jc w:val="both"/>
      </w:pPr>
      <w:r>
        <w:rPr>
          <w:rFonts w:ascii="Arial" w:hAnsi="Arial"/>
          <w:b w:val="0"/>
          <w:i w:val="0"/>
          <w:sz w:val="28"/>
        </w:rPr>
        <w:t>Las defensas típicas de la autoridad no resisten el análisis. Sostendrá, primero, que el plazo se interrumpió con sus múltiples gestiones de cobro. Ese razonamiento incurre en una petición de principio, la falacia que consiste en pretender demostrar por sí mismo lo que no está claro ni es conocido por sí mismo, esto es, en no demostrar.</w:t>
      </w:r>
      <w:r>
        <w:rPr>
          <w:rFonts w:ascii="Arial" w:hAnsi="Arial"/>
          <w:vertAlign w:val="superscript"/>
        </w:rPr>
        <w:t>4</w:t>
      </w:r>
      <w:r>
        <w:rPr>
          <w:rFonts w:ascii="Arial" w:hAnsi="Arial"/>
          <w:b w:val="0"/>
          <w:i w:val="0"/>
          <w:sz w:val="28"/>
        </w:rPr>
        <w:t xml:space="preserve"> La autoridad presume la subsistencia del crédito apoyándose en sus propios actos unilaterales, cuando lo que debía acreditar es, precisamente, que cada gestión fue notificada y conocida por el deudor conforme al texto legal aplicable.</w:t>
      </w:r>
    </w:p>
    <w:p>
      <w:pPr>
        <w:spacing w:line="360" w:lineRule="auto"/>
        <w:jc w:val="both"/>
      </w:pPr>
      <w:r>
        <w:rPr>
          <w:rFonts w:ascii="Arial" w:hAnsi="Arial"/>
          <w:b w:val="0"/>
          <w:i w:val="0"/>
          <w:sz w:val="28"/>
        </w:rPr>
        <w:t>Segundo, la autoridad suele invocar actas circunstanciadas de asunto no diligenciado y constancias de no localización de la persona contribuyente, y de ahí concluye la interrupción o la suspensión del plazo. La conclusión no se desprende de las premisas: se trata de un non sequitur, denominación genérica de los argumentos en los que la conclusión no se sigue de lo aducido.</w:t>
      </w:r>
      <w:r>
        <w:rPr>
          <w:rFonts w:ascii="Arial" w:hAnsi="Arial"/>
          <w:vertAlign w:val="superscript"/>
        </w:rPr>
        <w:t>5</w:t>
      </w:r>
      <w:r>
        <w:rPr>
          <w:rFonts w:ascii="Arial" w:hAnsi="Arial"/>
          <w:b w:val="0"/>
          <w:i w:val="0"/>
          <w:sz w:val="28"/>
        </w:rPr>
        <w:t xml:space="preserve"> Una diligencia que nunca llegó al conocimiento del deudor no es gestión de cobro en sentido legal, y la falta de localización no figura entre las causales previstas por la norma aplicable al caso.</w:t>
      </w:r>
    </w:p>
    <w:p>
      <w:pPr>
        <w:spacing w:line="360" w:lineRule="auto"/>
        <w:jc w:val="both"/>
      </w:pPr>
      <w:r>
        <w:rPr>
          <w:rFonts w:ascii="Arial" w:hAnsi="Arial"/>
          <w:b w:val="0"/>
          <w:i w:val="0"/>
          <w:sz w:val="28"/>
        </w:rPr>
        <w:t>Tercero, la invocación de la desocupación del domicilio fiscal constituye una aplicación retroactiva de la ley: esa hipótesis no existía en el texto del artículo 146 vigente cuando el crédito nació y se hizo exigible, y las normas sustantivas se rigen por el principio de irretroactividad en perjuicio que consagra el artículo 14 constitucional. Aceptar el argumento de la autoridad equivaldría a computar el término extintivo con reglas creadas después, que es justamente lo que la reforma de dos mil trece quiso proscribir.</w:t>
      </w:r>
    </w:p>
    <w:p>
      <w:pPr>
        <w:spacing w:line="360" w:lineRule="auto"/>
        <w:jc w:val="both"/>
      </w:pPr>
      <w:r>
        <w:rPr>
          <w:rFonts w:ascii="Arial" w:hAnsi="Arial"/>
          <w:b w:val="0"/>
          <w:i w:val="0"/>
          <w:sz w:val="28"/>
        </w:rPr>
        <w:t xml:space="preserve">Cuarto, la autoridad acostumbra calificar de inoperante el planteamiento, alegando que la parte actora no propone de manera pormenorizada el cómputo de la prescripción. Esa exigencia deforma el argumento realmente planteado para combatir uno distinto y más débil, e invierte indebidamente la carga probatoria, pues la regla procesal elemental indica que </w:t>
      </w:r>
      <w:r>
        <w:rPr>
          <w:rFonts w:ascii="Arial" w:hAnsi="Arial"/>
          <w:b w:val="0"/>
          <w:i/>
          <w:sz w:val="28"/>
        </w:rPr>
        <w:t>«quien afirma está obligado a probar, no quien niega»</w:t>
      </w:r>
      <w:r>
        <w:rPr>
          <w:rFonts w:ascii="Arial" w:hAnsi="Arial"/>
          <w:b w:val="0"/>
          <w:i w:val="0"/>
          <w:sz w:val="28"/>
        </w:rPr>
        <w:t>, sin que puedan confundirse la carga de argumentación y la carga de la prueba.</w:t>
      </w:r>
      <w:r>
        <w:rPr>
          <w:rFonts w:ascii="Arial" w:hAnsi="Arial"/>
          <w:vertAlign w:val="superscript"/>
        </w:rPr>
        <w:t>6</w:t>
      </w:r>
    </w:p>
    <w:p>
      <w:pPr>
        <w:spacing w:line="360" w:lineRule="auto"/>
        <w:jc w:val="both"/>
      </w:pPr>
      <w:r>
        <w:rPr>
          <w:rFonts w:ascii="Arial" w:hAnsi="Arial"/>
          <w:b w:val="0"/>
          <w:i w:val="0"/>
          <w:sz w:val="28"/>
        </w:rPr>
        <w:t>Conforme al artículo 81 del Código Federal de Procedimientos Civiles, de aplicación supletoria, corresponde a la autoridad demostrar los hechos constitutivos de su defensa, es decir, las interrupciones y suspensiones que alegue; a la parte actora le basta exponer la causa de pedir. La propia Sala está facultada por el artículo 50 de la Ley Federal de Procedimiento Contencioso Administrativo para corregir los errores en la cita de los preceptos invocados y determinar la norma exactamente aplicable al cómputo, sin variar la litis.</w:t>
      </w:r>
    </w:p>
    <w:p>
      <w:pPr>
        <w:spacing w:line="360" w:lineRule="auto"/>
        <w:jc w:val="both"/>
      </w:pPr>
      <w:r>
        <w:rPr>
          <w:rFonts w:ascii="Arial" w:hAnsi="Arial"/>
          <w:b w:val="0"/>
          <w:i w:val="0"/>
          <w:sz w:val="28"/>
        </w:rPr>
        <w:t xml:space="preserve">Quinto, tampoco podría sostenerse que la presentación de esta demanda </w:t>
      </w:r>
      <w:r>
        <w:rPr>
          <w:rFonts w:ascii="Arial" w:hAnsi="Arial"/>
          <w:b w:val="0"/>
          <w:i/>
          <w:sz w:val="28"/>
        </w:rPr>
        <w:t>«interrumpe»</w:t>
      </w:r>
      <w:r>
        <w:rPr>
          <w:rFonts w:ascii="Arial" w:hAnsi="Arial"/>
          <w:b w:val="0"/>
          <w:i w:val="0"/>
          <w:sz w:val="28"/>
        </w:rPr>
        <w:t xml:space="preserve"> el plazo por implicar un reconocimiento del adeudo: un término ya consumado no puede interrumpirse, pues el reconocimiento posterior recae sobre un crédito que ya se había extinguido. Sostener lo contrario convertiría la prescripción en letra muerta y premiaría la inactividad de la autoridad, que es exactamente la conducta que esta institución sanciona.</w:t>
      </w:r>
    </w:p>
    <w:p>
      <w:pPr>
        <w:spacing w:line="360" w:lineRule="auto"/>
        <w:jc w:val="both"/>
      </w:pPr>
      <w:r>
        <w:rPr>
          <w:rFonts w:ascii="Arial" w:hAnsi="Arial"/>
          <w:b/>
          <w:sz w:val="28"/>
        </w:rPr>
        <w:t>V. Conclusión y petición parcial.</w:t>
      </w:r>
    </w:p>
    <w:p>
      <w:pPr>
        <w:spacing w:line="360" w:lineRule="auto"/>
        <w:jc w:val="both"/>
      </w:pPr>
      <w:r>
        <w:rPr>
          <w:rFonts w:ascii="Arial" w:hAnsi="Arial"/>
          <w:b w:val="0"/>
          <w:i w:val="0"/>
          <w:sz w:val="28"/>
        </w:rPr>
        <w:t xml:space="preserve">De lo expuesto se concluye que el crédito fiscal contenido en el oficio </w:t>
      </w:r>
      <w:r>
        <w:rPr>
          <w:rFonts w:ascii="Arial" w:hAnsi="Arial"/>
          <w:b/>
          <w:i w:val="0"/>
          <w:sz w:val="28"/>
        </w:rPr>
        <w:t>[NÚMERO DEL OFICIO DETERMINANTE DEL CRÉDITO]</w:t>
      </w:r>
      <w:r>
        <w:rPr>
          <w:rFonts w:ascii="Arial" w:hAnsi="Arial"/>
          <w:b w:val="0"/>
          <w:i w:val="0"/>
          <w:sz w:val="28"/>
        </w:rPr>
        <w:t xml:space="preserve"> quedó extinguido por prescripción y que los actos de cobro impugnados, al pretender ejecutarlo, nacieron viciados de ilegalidad, sin que sea necesario el estudio de sus vicios propios, pues ninguno otorgaría un beneficio mayor que la declaratoria de extinción del adeudo.</w:t>
      </w:r>
    </w:p>
    <w:p>
      <w:pPr>
        <w:spacing w:line="360" w:lineRule="auto"/>
        <w:jc w:val="both"/>
      </w:pPr>
      <w:r>
        <w:rPr>
          <w:rFonts w:ascii="Arial" w:hAnsi="Arial"/>
          <w:b w:val="0"/>
          <w:i w:val="0"/>
          <w:sz w:val="28"/>
        </w:rPr>
        <w:t xml:space="preserve">Por tanto, con fundamento en los artículos 51, fracción IV, y 52, fracciones II y V, inciso b), de la Ley Federal de Procedimiento Contencioso Administrativo, se solicita a esa </w:t>
      </w:r>
      <w:r>
        <w:rPr>
          <w:rFonts w:ascii="Arial" w:hAnsi="Arial"/>
          <w:b/>
          <w:i w:val="0"/>
          <w:sz w:val="28"/>
        </w:rPr>
        <w:t>[SALA REGIONAL COMPETENTE]</w:t>
      </w:r>
      <w:r>
        <w:rPr>
          <w:rFonts w:ascii="Arial" w:hAnsi="Arial"/>
          <w:b w:val="0"/>
          <w:i w:val="0"/>
          <w:sz w:val="28"/>
        </w:rPr>
        <w:t xml:space="preserve"> declarar la prescripción del crédito fiscal de origen, decretar la nulidad lisa y llana de las resoluciones impugnadas y condenar a la </w:t>
      </w:r>
      <w:r>
        <w:rPr>
          <w:rFonts w:ascii="Arial" w:hAnsi="Arial"/>
          <w:b/>
          <w:i w:val="0"/>
          <w:sz w:val="28"/>
        </w:rPr>
        <w:t>[AUTORIDAD DEMANDADA]</w:t>
      </w:r>
      <w:r>
        <w:rPr>
          <w:rFonts w:ascii="Arial" w:hAnsi="Arial"/>
          <w:b w:val="0"/>
          <w:i w:val="0"/>
          <w:sz w:val="28"/>
        </w:rPr>
        <w:t xml:space="preserve"> a restituir a la parte actora en el goce de sus derechos afectados, mediante la liberación efectiva y fehaciente de la totalidad de las cuentas bancarias inmovilizadas.</w:t>
      </w:r>
    </w:p>
    <w:p/>
    <w:p>
      <w:r>
        <w:rPr>
          <w:rFonts w:ascii="Arial" w:hAnsi="Arial"/>
          <w:b/>
          <w:sz w:val="22"/>
        </w:rPr>
        <w:t>NOTAS</w:t>
      </w:r>
    </w:p>
    <w:p>
      <w:pPr>
        <w:spacing w:after="60"/>
        <w:ind w:left="360" w:hanging="360"/>
        <w:jc w:val="both"/>
      </w:pPr>
      <w:r>
        <w:rPr>
          <w:rFonts w:ascii="Arial" w:hAnsi="Arial"/>
          <w:sz w:val="20"/>
          <w:vertAlign w:val="superscript"/>
        </w:rPr>
        <w:t>1</w:t>
      </w:r>
      <w:r>
        <w:rPr>
          <w:sz w:val="20"/>
        </w:rPr>
        <w:t xml:space="preserve"> </w:t>
      </w:r>
      <w:r>
        <w:rPr>
          <w:rFonts w:ascii="Arial" w:hAnsi="Arial"/>
          <w:i w:val="0"/>
          <w:sz w:val="20"/>
        </w:rPr>
        <w:t xml:space="preserve">HERNÁNDEZ VALLE, Rubén, </w:t>
      </w:r>
      <w:r>
        <w:rPr>
          <w:rFonts w:ascii="Arial" w:hAnsi="Arial"/>
          <w:i/>
          <w:sz w:val="20"/>
        </w:rPr>
        <w:t>Derecho procesal constitucional y derecho convencional</w:t>
      </w:r>
      <w:r>
        <w:rPr>
          <w:rFonts w:ascii="Arial" w:hAnsi="Arial"/>
          <w:i w:val="0"/>
          <w:sz w:val="20"/>
        </w:rPr>
        <w:t>, Instituto de Estudios Constitucionales del Estado de Querétaro, México, 2021, p. 271.</w:t>
      </w:r>
    </w:p>
    <w:p>
      <w:pPr>
        <w:spacing w:after="60"/>
        <w:ind w:left="360" w:hanging="360"/>
        <w:jc w:val="both"/>
      </w:pPr>
      <w:r>
        <w:rPr>
          <w:rFonts w:ascii="Arial" w:hAnsi="Arial"/>
          <w:sz w:val="20"/>
          <w:vertAlign w:val="superscript"/>
        </w:rPr>
        <w:t>2</w:t>
      </w:r>
      <w:r>
        <w:rPr>
          <w:sz w:val="20"/>
        </w:rPr>
        <w:t xml:space="preserve"> </w:t>
      </w:r>
      <w:r>
        <w:rPr>
          <w:rFonts w:ascii="Arial" w:hAnsi="Arial"/>
          <w:i w:val="0"/>
          <w:sz w:val="20"/>
        </w:rPr>
        <w:t xml:space="preserve">FERNÁNDEZ RUIZ, Graciela, </w:t>
      </w:r>
      <w:r>
        <w:rPr>
          <w:rFonts w:ascii="Arial" w:hAnsi="Arial"/>
          <w:i/>
          <w:sz w:val="20"/>
        </w:rPr>
        <w:t>Argumentación y lenguaje jurídico. Aplicación al análisis de una sentencia de la Suprema Corte de Justicia de la Nación</w:t>
      </w:r>
      <w:r>
        <w:rPr>
          <w:rFonts w:ascii="Arial" w:hAnsi="Arial"/>
          <w:i w:val="0"/>
          <w:sz w:val="20"/>
        </w:rPr>
        <w:t>, 2ª ed., Universidad Nacional Autónoma de México, Instituto de Investigaciones Jurídicas, México, 2017, p. 118.</w:t>
      </w:r>
    </w:p>
    <w:p>
      <w:pPr>
        <w:spacing w:after="60"/>
        <w:ind w:left="360" w:hanging="360"/>
        <w:jc w:val="both"/>
      </w:pPr>
      <w:r>
        <w:rPr>
          <w:rFonts w:ascii="Arial" w:hAnsi="Arial"/>
          <w:sz w:val="20"/>
          <w:vertAlign w:val="superscript"/>
        </w:rPr>
        <w:t>3</w:t>
      </w:r>
      <w:r>
        <w:rPr>
          <w:sz w:val="20"/>
        </w:rPr>
        <w:t xml:space="preserve"> </w:t>
      </w:r>
      <w:r>
        <w:rPr>
          <w:rFonts w:ascii="Arial" w:hAnsi="Arial"/>
          <w:i w:val="0"/>
          <w:sz w:val="20"/>
        </w:rPr>
        <w:t xml:space="preserve">GARCÍA GARCÍA, Mayolo; MORENO CRUZ, Rodolfo (coord.), </w:t>
      </w:r>
      <w:r>
        <w:rPr>
          <w:rFonts w:ascii="Arial" w:hAnsi="Arial"/>
          <w:i/>
          <w:sz w:val="20"/>
        </w:rPr>
        <w:t>Argumentación Jurídica. Fisonomía desde una óptica forense</w:t>
      </w:r>
      <w:r>
        <w:rPr>
          <w:rFonts w:ascii="Arial" w:hAnsi="Arial"/>
          <w:i w:val="0"/>
          <w:sz w:val="20"/>
        </w:rPr>
        <w:t>, Instituto de Investigaciones Jurídicas, México, 2014, p. 5.</w:t>
      </w:r>
    </w:p>
    <w:p>
      <w:pPr>
        <w:spacing w:after="60"/>
        <w:ind w:left="360" w:hanging="360"/>
        <w:jc w:val="both"/>
      </w:pPr>
      <w:r>
        <w:rPr>
          <w:rFonts w:ascii="Arial" w:hAnsi="Arial"/>
          <w:sz w:val="20"/>
          <w:vertAlign w:val="superscript"/>
        </w:rPr>
        <w:t>4</w:t>
      </w:r>
      <w:r>
        <w:rPr>
          <w:sz w:val="20"/>
        </w:rPr>
        <w:t xml:space="preserve"> </w:t>
      </w:r>
      <w:r>
        <w:rPr>
          <w:rFonts w:ascii="Arial" w:hAnsi="Arial"/>
          <w:i w:val="0"/>
          <w:sz w:val="20"/>
        </w:rPr>
        <w:t xml:space="preserve">GARCÍA DAMBORENEA, Ricardo, </w:t>
      </w:r>
      <w:r>
        <w:rPr>
          <w:rFonts w:ascii="Arial" w:hAnsi="Arial"/>
          <w:i/>
          <w:sz w:val="20"/>
        </w:rPr>
        <w:t>Diccionario de falacias</w:t>
      </w:r>
      <w:r>
        <w:rPr>
          <w:rFonts w:ascii="Arial" w:hAnsi="Arial"/>
          <w:i w:val="0"/>
          <w:sz w:val="20"/>
        </w:rPr>
        <w:t>, s. f., p. 73.</w:t>
      </w:r>
    </w:p>
    <w:p>
      <w:pPr>
        <w:spacing w:after="60"/>
        <w:ind w:left="360" w:hanging="360"/>
        <w:jc w:val="both"/>
      </w:pPr>
      <w:r>
        <w:rPr>
          <w:rFonts w:ascii="Arial" w:hAnsi="Arial"/>
          <w:sz w:val="20"/>
          <w:vertAlign w:val="superscript"/>
        </w:rPr>
        <w:t>5</w:t>
      </w:r>
      <w:r>
        <w:rPr>
          <w:sz w:val="20"/>
        </w:rPr>
        <w:t xml:space="preserve"> </w:t>
      </w:r>
      <w:r>
        <w:rPr>
          <w:rFonts w:ascii="Arial" w:hAnsi="Arial"/>
          <w:i w:val="0"/>
          <w:sz w:val="20"/>
        </w:rPr>
        <w:t>GARCÍA DAMBORENEA, op. cit.</w:t>
      </w:r>
      <w:r>
        <w:rPr>
          <w:rFonts w:ascii="Arial" w:hAnsi="Arial"/>
          <w:i w:val="0"/>
          <w:sz w:val="20"/>
        </w:rPr>
        <w:t>, p. 64.</w:t>
      </w:r>
    </w:p>
    <w:p>
      <w:pPr>
        <w:spacing w:after="60"/>
        <w:ind w:left="360" w:hanging="360"/>
        <w:jc w:val="both"/>
      </w:pPr>
      <w:r>
        <w:rPr>
          <w:rFonts w:ascii="Arial" w:hAnsi="Arial"/>
          <w:sz w:val="20"/>
          <w:vertAlign w:val="superscript"/>
        </w:rPr>
        <w:t>6</w:t>
      </w:r>
      <w:r>
        <w:rPr>
          <w:sz w:val="20"/>
        </w:rPr>
        <w:t xml:space="preserve"> </w:t>
      </w:r>
      <w:r>
        <w:rPr>
          <w:rFonts w:ascii="Arial" w:hAnsi="Arial"/>
          <w:i w:val="0"/>
          <w:sz w:val="20"/>
        </w:rPr>
        <w:t xml:space="preserve">SÁNCHEZ GIL, Rubén, </w:t>
      </w:r>
      <w:r>
        <w:rPr>
          <w:rFonts w:ascii="Arial" w:hAnsi="Arial"/>
          <w:i/>
          <w:sz w:val="20"/>
        </w:rPr>
        <w:t>El principio de proporcionalidad</w:t>
      </w:r>
      <w:r>
        <w:rPr>
          <w:rFonts w:ascii="Arial" w:hAnsi="Arial"/>
          <w:i w:val="0"/>
          <w:sz w:val="20"/>
        </w:rPr>
        <w:t>, Universidad Nacional Autónoma de México, México, 2007, p. 89.</w:t>
      </w:r>
    </w:p>
    <w:p/>
    <w:p>
      <w:r>
        <w:rPr>
          <w:rFonts w:ascii="Arial" w:hAnsi="Arial"/>
          <w:b/>
          <w:sz w:val="22"/>
        </w:rPr>
        <w:t>BIBLIOGRAFÍA</w:t>
      </w:r>
    </w:p>
    <w:p>
      <w:pPr>
        <w:spacing w:after="60"/>
        <w:ind w:left="360" w:hanging="360"/>
        <w:jc w:val="both"/>
      </w:pPr>
      <w:r>
        <w:rPr>
          <w:rFonts w:ascii="Arial" w:hAnsi="Arial"/>
          <w:i w:val="0"/>
          <w:sz w:val="20"/>
        </w:rPr>
        <w:t xml:space="preserve">FERNÁNDEZ RUIZ, Graciela, </w:t>
      </w:r>
      <w:r>
        <w:rPr>
          <w:rFonts w:ascii="Arial" w:hAnsi="Arial"/>
          <w:i/>
          <w:sz w:val="20"/>
        </w:rPr>
        <w:t>Argumentación y lenguaje jurídico. Aplicación al análisis de una sentencia de la Suprema Corte de Justicia de la Nación</w:t>
      </w:r>
      <w:r>
        <w:rPr>
          <w:rFonts w:ascii="Arial" w:hAnsi="Arial"/>
          <w:i w:val="0"/>
          <w:sz w:val="20"/>
        </w:rPr>
        <w:t>, 2ª ed., Universidad Nacional Autónoma de México, Instituto de Investigaciones Jurídicas, México, 2017.</w:t>
      </w:r>
    </w:p>
    <w:p>
      <w:pPr>
        <w:spacing w:after="60"/>
        <w:ind w:left="360" w:hanging="360"/>
        <w:jc w:val="both"/>
      </w:pPr>
      <w:r>
        <w:rPr>
          <w:rFonts w:ascii="Arial" w:hAnsi="Arial"/>
          <w:i w:val="0"/>
          <w:sz w:val="20"/>
        </w:rPr>
        <w:t xml:space="preserve">GARCÍA DAMBORENEA, Ricardo, </w:t>
      </w:r>
      <w:r>
        <w:rPr>
          <w:rFonts w:ascii="Arial" w:hAnsi="Arial"/>
          <w:i/>
          <w:sz w:val="20"/>
        </w:rPr>
        <w:t>Diccionario de falacias</w:t>
      </w:r>
      <w:r>
        <w:rPr>
          <w:rFonts w:ascii="Arial" w:hAnsi="Arial"/>
          <w:i w:val="0"/>
          <w:sz w:val="20"/>
        </w:rPr>
        <w:t>, s. f.</w:t>
      </w:r>
    </w:p>
    <w:p>
      <w:pPr>
        <w:spacing w:after="60"/>
        <w:ind w:left="360" w:hanging="360"/>
        <w:jc w:val="both"/>
      </w:pPr>
      <w:r>
        <w:rPr>
          <w:rFonts w:ascii="Arial" w:hAnsi="Arial"/>
          <w:i w:val="0"/>
          <w:sz w:val="20"/>
        </w:rPr>
        <w:t xml:space="preserve">GARCÍA GARCÍA, Mayolo; MORENO CRUZ, Rodolfo (coord.), </w:t>
      </w:r>
      <w:r>
        <w:rPr>
          <w:rFonts w:ascii="Arial" w:hAnsi="Arial"/>
          <w:i/>
          <w:sz w:val="20"/>
        </w:rPr>
        <w:t>Argumentación Jurídica. Fisonomía desde una óptica forense</w:t>
      </w:r>
      <w:r>
        <w:rPr>
          <w:rFonts w:ascii="Arial" w:hAnsi="Arial"/>
          <w:i w:val="0"/>
          <w:sz w:val="20"/>
        </w:rPr>
        <w:t>, Instituto de Investigaciones Jurídicas, México, 2014.</w:t>
      </w:r>
    </w:p>
    <w:p>
      <w:pPr>
        <w:spacing w:after="60"/>
        <w:ind w:left="360" w:hanging="360"/>
        <w:jc w:val="both"/>
      </w:pPr>
      <w:r>
        <w:rPr>
          <w:rFonts w:ascii="Arial" w:hAnsi="Arial"/>
          <w:i w:val="0"/>
          <w:sz w:val="20"/>
        </w:rPr>
        <w:t xml:space="preserve">HERNÁNDEZ VALLE, Rubén, </w:t>
      </w:r>
      <w:r>
        <w:rPr>
          <w:rFonts w:ascii="Arial" w:hAnsi="Arial"/>
          <w:i/>
          <w:sz w:val="20"/>
        </w:rPr>
        <w:t>Derecho procesal constitucional y derecho convencional</w:t>
      </w:r>
      <w:r>
        <w:rPr>
          <w:rFonts w:ascii="Arial" w:hAnsi="Arial"/>
          <w:i w:val="0"/>
          <w:sz w:val="20"/>
        </w:rPr>
        <w:t>, Instituto de Estudios Constitucionales del Estado de Querétaro, México, 2021.</w:t>
      </w:r>
    </w:p>
    <w:p>
      <w:pPr>
        <w:spacing w:after="60"/>
        <w:ind w:left="360" w:hanging="360"/>
        <w:jc w:val="both"/>
      </w:pPr>
      <w:r>
        <w:rPr>
          <w:rFonts w:ascii="Arial" w:hAnsi="Arial"/>
          <w:i w:val="0"/>
          <w:sz w:val="20"/>
        </w:rPr>
        <w:t xml:space="preserve">SÁNCHEZ GIL, Rubén, </w:t>
      </w:r>
      <w:r>
        <w:rPr>
          <w:rFonts w:ascii="Arial" w:hAnsi="Arial"/>
          <w:i/>
          <w:sz w:val="20"/>
        </w:rPr>
        <w:t>El principio de proporcionalidad</w:t>
      </w:r>
      <w:r>
        <w:rPr>
          <w:rFonts w:ascii="Arial" w:hAnsi="Arial"/>
          <w:i w:val="0"/>
          <w:sz w:val="20"/>
        </w:rPr>
        <w:t>, Universidad Nacional Autónoma de México, México, 2007.</w:t>
      </w:r>
    </w:p>
    <w:sectPr w:rsidR="00FC693F" w:rsidRPr="0006063C" w:rsidSect="00034616">
      <w:footerReference w:type="default" r:id="rId9"/>
      <w:pgSz w:w="12246" w:h="19276"/>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sz w:val="20"/>
      </w:rPr>
      <w:t xml:space="preserve">Página </w:t>
    </w:r>
    <w:r>
      <w:rPr>
        <w:rFonts w:ascii="Arial" w:hAnsi="Arial"/>
        <w:sz w:val="20"/>
      </w:rPr>
      <w:fldChar w:fldCharType="begin"/>
      <w:instrText xml:space="preserve">PAGE</w:instrText>
      <w:fldChar w:fldCharType="end"/>
    </w:r>
    <w:r>
      <w:rPr>
        <w:rFonts w:ascii="Arial" w:hAnsi="Arial"/>
        <w:sz w:val="20"/>
      </w:rPr>
      <w:t xml:space="preserve"> de </w:t>
    </w:r>
    <w:r>
      <w:rPr>
        <w:rFonts w:ascii="Arial" w:hAnsi="Arial"/>
        <w:sz w:val="20"/>
      </w:rPr>
      <w:fldChar w:fldCharType="begin"/>
      <w:instrText xml:space="preserve">NUMPAGES</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