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REVISIÓN ELECTRÓNICA RESUELTA FUERA DEL PLAZO DE CUARENTA DÍAS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Primero reconstruye la línea de tiempo con la resolución provisional, su constancia de notificación y la liquidación; identifica cuándo venció el término para desvirtuar las irregularidades, si hubo desahogo de pruebas, segundo requerimiento o información de terceros que cambie el inicio del cómputo, y cuenta los cuarenta días excluyendo los inhábiles del periodo.</w:t>
      </w:r>
    </w:p>
    <w:p>
      <w:pPr>
        <w:spacing w:line="360" w:lineRule="auto"/>
        <w:jc w:val="both"/>
      </w:pPr>
      <w:r>
        <w:rPr>
          <w:rFonts w:ascii="Arial" w:hAnsi="Arial"/>
          <w:b w:val="0"/>
          <w:i w:val="0"/>
          <w:sz w:val="24"/>
        </w:rPr>
        <w:t>Si la autoridad notificó por buzón tributario dentro del plazo, redacta un concepto aparte contra esa notificación, porque la ley procesal ordena estudiarlo primero; anexa la verificación del código QR y las capturas del portal del SAT que acrediten que no es posible comprobar la autoría del sello digital, y manifiesta en la demanda la fecha en que conociste la resolución.</w:t>
      </w:r>
    </w:p>
    <w:p>
      <w:pPr>
        <w:spacing w:line="360" w:lineRule="auto"/>
        <w:jc w:val="both"/>
      </w:pPr>
      <w:r>
        <w:rPr>
          <w:rFonts w:ascii="Arial" w:hAnsi="Arial"/>
          <w:b w:val="0"/>
          <w:i w:val="0"/>
          <w:sz w:val="24"/>
        </w:rPr>
        <w:t>La demanda de nulidad se presenta dentro de los treinta días siguientes a aquél en que surta efectos la notificación de la resolución impugnada (artículo 13, fracción I, inciso a), de la Ley Federal de Procedimiento Contencioso Administrativo); si tu asunto corresponde a la vía sumaria, el plazo también es de treinta días (artículo 58-2, párrafo tercero, de la misma ley). Cuando impugnas la notificación, la oportunidad de la demanda se mide desde la fecha de conocimiento que manifiestes, por lo que conviene presentarla cuanto antes.</w:t>
      </w:r>
    </w:p>
    <w:p>
      <w:pPr>
        <w:spacing w:line="360" w:lineRule="auto"/>
        <w:jc w:val="both"/>
      </w:pPr>
      <w:r>
        <w:rPr>
          <w:rFonts w:ascii="Arial" w:hAnsi="Arial"/>
          <w:b w:val="0"/>
          <w:i w:val="0"/>
          <w:sz w:val="24"/>
        </w:rPr>
        <w:t>Antes de presentar, verifica el texto del artículo 53-B del Código Fiscal de la Federación aplicable al periodo de tu revisión y la regla vigente de la Resolución Miscelánea Fiscal sobre la verificación de documentos firmados electrónicamente. La Sala apoyó la consecuencia de nulidad en jurisprudencia de la Segunda Sala de la Suprema Corte; si decides invocarla, localízala y confirma su vigencia en el Semanario Judicial de la Federación.</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conviene colocarlo antes de los conceptos formales, porque su estudio es preferente.</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contiene la liquidación definitiva de la revisión electrónica.</w:t>
      </w:r>
    </w:p>
    <w:p>
      <w:pPr>
        <w:spacing w:line="360" w:lineRule="auto"/>
        <w:jc w:val="both"/>
      </w:pPr>
      <w:r>
        <w:rPr>
          <w:rFonts w:ascii="Arial" w:hAnsi="Arial"/>
          <w:b/>
          <w:i w:val="0"/>
          <w:sz w:val="24"/>
        </w:rPr>
        <w:t>[FECHA DE EMISIÓN DE LA RESOLUCIÓN IMPUGNADA]</w:t>
      </w:r>
      <w:r>
        <w:rPr>
          <w:rFonts w:ascii="Arial" w:hAnsi="Arial"/>
          <w:b w:val="0"/>
          <w:i w:val="0"/>
          <w:sz w:val="24"/>
        </w:rPr>
        <w:t>: la fecha que ostenta ese oficio.</w:t>
      </w:r>
    </w:p>
    <w:p>
      <w:pPr>
        <w:spacing w:line="360" w:lineRule="auto"/>
        <w:jc w:val="both"/>
      </w:pPr>
      <w:r>
        <w:rPr>
          <w:rFonts w:ascii="Arial" w:hAnsi="Arial"/>
          <w:b/>
          <w:i w:val="0"/>
          <w:sz w:val="24"/>
        </w:rPr>
        <w:t>[AUTORIDAD DEMANDADA]</w:t>
      </w:r>
      <w:r>
        <w:rPr>
          <w:rFonts w:ascii="Arial" w:hAnsi="Arial"/>
          <w:b w:val="0"/>
          <w:i w:val="0"/>
          <w:sz w:val="24"/>
        </w:rPr>
        <w:t>: la unidad administrativa emisora, con su denominación completa.</w:t>
      </w:r>
    </w:p>
    <w:p>
      <w:pPr>
        <w:spacing w:line="360" w:lineRule="auto"/>
        <w:jc w:val="both"/>
      </w:pPr>
      <w:r>
        <w:rPr>
          <w:rFonts w:ascii="Arial" w:hAnsi="Arial"/>
          <w:b/>
          <w:i w:val="0"/>
          <w:sz w:val="24"/>
        </w:rPr>
        <w:t>[NOMBRE DE LA PARTE ACTORA]</w:t>
      </w:r>
      <w:r>
        <w:rPr>
          <w:rFonts w:ascii="Arial" w:hAnsi="Arial"/>
          <w:b w:val="0"/>
          <w:i w:val="0"/>
          <w:sz w:val="24"/>
        </w:rPr>
        <w:t>: el nombre o la razón social de la persona contribuyente revisada.</w:t>
      </w:r>
    </w:p>
    <w:p>
      <w:pPr>
        <w:spacing w:line="360" w:lineRule="auto"/>
        <w:jc w:val="both"/>
      </w:pPr>
      <w:r>
        <w:rPr>
          <w:rFonts w:ascii="Arial" w:hAnsi="Arial"/>
          <w:b/>
          <w:i w:val="0"/>
          <w:sz w:val="24"/>
        </w:rPr>
        <w:t>[MONTO DEL CRÉDITO FISCAL]</w:t>
      </w:r>
      <w:r>
        <w:rPr>
          <w:rFonts w:ascii="Arial" w:hAnsi="Arial"/>
          <w:b w:val="0"/>
          <w:i w:val="0"/>
          <w:sz w:val="24"/>
        </w:rPr>
        <w:t>: la cantidad total determinada, con número y letra.</w:t>
      </w:r>
    </w:p>
    <w:p>
      <w:pPr>
        <w:spacing w:line="360" w:lineRule="auto"/>
        <w:jc w:val="both"/>
      </w:pPr>
      <w:r>
        <w:rPr>
          <w:rFonts w:ascii="Arial" w:hAnsi="Arial"/>
          <w:b/>
          <w:i w:val="0"/>
          <w:sz w:val="24"/>
        </w:rPr>
        <w:t>[EJERCICIO REVISADO]</w:t>
      </w:r>
      <w:r>
        <w:rPr>
          <w:rFonts w:ascii="Arial" w:hAnsi="Arial"/>
          <w:b w:val="0"/>
          <w:i w:val="0"/>
          <w:sz w:val="24"/>
        </w:rPr>
        <w:t>: el ejercicio o periodo que abarcó la revisión electrónica.</w:t>
      </w:r>
    </w:p>
    <w:p>
      <w:pPr>
        <w:spacing w:line="360" w:lineRule="auto"/>
        <w:jc w:val="both"/>
      </w:pPr>
      <w:r>
        <w:rPr>
          <w:rFonts w:ascii="Arial" w:hAnsi="Arial"/>
          <w:b/>
          <w:i w:val="0"/>
          <w:sz w:val="24"/>
        </w:rPr>
        <w:t>[FECHA DE NOTIFICACIÓN DE LA RESOLUCIÓN PROVISIONAL]</w:t>
      </w:r>
      <w:r>
        <w:rPr>
          <w:rFonts w:ascii="Arial" w:hAnsi="Arial"/>
          <w:b w:val="0"/>
          <w:i w:val="0"/>
          <w:sz w:val="24"/>
        </w:rPr>
        <w:t>: la fecha en que se notificó la resolución provisional y, en su caso, el oficio de preliquidación.</w:t>
      </w:r>
    </w:p>
    <w:p>
      <w:pPr>
        <w:spacing w:line="360" w:lineRule="auto"/>
        <w:jc w:val="both"/>
      </w:pPr>
      <w:r>
        <w:rPr>
          <w:rFonts w:ascii="Arial" w:hAnsi="Arial"/>
          <w:b/>
          <w:i w:val="0"/>
          <w:sz w:val="24"/>
        </w:rPr>
        <w:t>[FECHA DE VENCIMIENTO DEL PLAZO DE QUINCE DÍAS]</w:t>
      </w:r>
      <w:r>
        <w:rPr>
          <w:rFonts w:ascii="Arial" w:hAnsi="Arial"/>
          <w:b w:val="0"/>
          <w:i w:val="0"/>
          <w:sz w:val="24"/>
        </w:rPr>
        <w:t>: el último día del término para desvirtuar las irregularidades; si hubo desahogo de pruebas, segundo requerimiento o información de terceros, ajusta el párrafo al inciso que corresponda.</w:t>
      </w:r>
    </w:p>
    <w:p>
      <w:pPr>
        <w:spacing w:line="360" w:lineRule="auto"/>
        <w:jc w:val="both"/>
      </w:pPr>
      <w:r>
        <w:rPr>
          <w:rFonts w:ascii="Arial" w:hAnsi="Arial"/>
          <w:b/>
          <w:i w:val="0"/>
          <w:sz w:val="24"/>
        </w:rPr>
        <w:t>[PÁGINA DE LA RESOLUCIÓN IMPUGNADA QUE FIJA ESE VENCIMIENTO]</w:t>
      </w:r>
      <w:r>
        <w:rPr>
          <w:rFonts w:ascii="Arial" w:hAnsi="Arial"/>
          <w:b w:val="0"/>
          <w:i w:val="0"/>
          <w:sz w:val="24"/>
        </w:rPr>
        <w:t>: la página o el pasaje de la liquidación donde la autoridad reconoce cuándo venció ese término; si no lo reconoce, suprime esa porción del párrafo.</w:t>
      </w:r>
    </w:p>
    <w:p>
      <w:pPr>
        <w:spacing w:line="360" w:lineRule="auto"/>
        <w:jc w:val="both"/>
      </w:pPr>
      <w:r>
        <w:rPr>
          <w:rFonts w:ascii="Arial" w:hAnsi="Arial"/>
          <w:b/>
          <w:i w:val="0"/>
          <w:sz w:val="24"/>
        </w:rPr>
        <w:t>[FECHA DE VENCIMIENTO DEL PLAZO DE CUARENTA DÍAS]</w:t>
      </w:r>
      <w:r>
        <w:rPr>
          <w:rFonts w:ascii="Arial" w:hAnsi="Arial"/>
          <w:b w:val="0"/>
          <w:i w:val="0"/>
          <w:sz w:val="24"/>
        </w:rPr>
        <w:t>: el día en que se agotaron los cuarenta días, contados con exclusión de los días inhábiles del periodo.</w:t>
      </w:r>
    </w:p>
    <w:p>
      <w:pPr>
        <w:spacing w:line="360" w:lineRule="auto"/>
        <w:jc w:val="both"/>
      </w:pPr>
      <w:r>
        <w:rPr>
          <w:rFonts w:ascii="Arial" w:hAnsi="Arial"/>
          <w:b/>
          <w:i w:val="0"/>
          <w:sz w:val="24"/>
        </w:rPr>
        <w:t>[FECHA DE NOTIFICACIÓN O DE CONOCIMIENTO DE LA RESOLUCIÓN IMPUGNADA]</w:t>
      </w:r>
      <w:r>
        <w:rPr>
          <w:rFonts w:ascii="Arial" w:hAnsi="Arial"/>
          <w:b w:val="0"/>
          <w:i w:val="0"/>
          <w:sz w:val="24"/>
        </w:rPr>
        <w:t>: la fecha en que la notificación surtió efectos o, si la impugnas, la fecha en que manifiestas haber conocido la resolución.</w:t>
      </w:r>
    </w:p>
    <w:p>
      <w:pPr>
        <w:spacing w:line="360" w:lineRule="auto"/>
        <w:jc w:val="both"/>
      </w:pPr>
      <w:r>
        <w:rPr>
          <w:rFonts w:ascii="Arial" w:hAnsi="Arial"/>
          <w:b/>
          <w:i w:val="0"/>
          <w:sz w:val="24"/>
        </w:rPr>
        <w:t>[ORDINAL DEL CONCEPTO CONTRA LA NOTIFICACIÓN]</w:t>
      </w:r>
      <w:r>
        <w:rPr>
          <w:rFonts w:ascii="Arial" w:hAnsi="Arial"/>
          <w:b w:val="0"/>
          <w:i w:val="0"/>
          <w:sz w:val="24"/>
        </w:rPr>
        <w:t>: el ordinal del concepto en que combates la notificación por buzón tributario; si no la impugnas, suprime los párrafos que lo mencionan.</w:t>
      </w:r>
    </w:p>
    <w:p>
      <w:pPr>
        <w:spacing w:line="360" w:lineRule="auto"/>
        <w:jc w:val="both"/>
      </w:pPr>
      <w:r>
        <w:rPr>
          <w:rFonts w:ascii="Arial" w:hAnsi="Arial"/>
          <w:b/>
          <w:i w:val="0"/>
          <w:sz w:val="24"/>
        </w:rPr>
        <w:t>[FECHA DE LA CONSTANCIA DE NOTIFICACIÓN POR BUZÓN TRIBUTARIO]</w:t>
      </w:r>
      <w:r>
        <w:rPr>
          <w:rFonts w:ascii="Arial" w:hAnsi="Arial"/>
          <w:b w:val="0"/>
          <w:i w:val="0"/>
          <w:sz w:val="24"/>
        </w:rPr>
        <w:t>: la fecha que ostenta la constancia de notificación electrónica que exhibe la autoridad.</w:t>
      </w:r>
    </w:p>
    <w:p/>
    <w:p>
      <w:pPr>
        <w:spacing w:line="360" w:lineRule="auto"/>
        <w:jc w:val="both"/>
      </w:pPr>
      <w:r>
        <w:rPr>
          <w:rFonts w:ascii="Arial" w:hAnsi="Arial"/>
          <w:b/>
          <w:sz w:val="28"/>
        </w:rPr>
        <w:t>[NÚMERO ORDINAL DEL CONCEPTO] CONCEPTO DE IMPUGNACIÓN. La resolución definitiva de la revisión electrónica no se emitió y notificó dentro del plazo máximo de cuarenta días que fija el artículo 53-B, fracción IV, del Código Fiscal de la Federación, por lo que se dictó en contravención de las disposiciones aplicadas y procede declarar su nulidad lisa y llana.</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EMISIÓN DE LA RESOLUCIÓN IMPUGNADA]</w:t>
      </w:r>
      <w:r>
        <w:rPr>
          <w:rFonts w:ascii="Arial" w:hAnsi="Arial"/>
          <w:b w:val="0"/>
          <w:i w:val="0"/>
          <w:sz w:val="28"/>
        </w:rPr>
        <w:t xml:space="preserve">, por la cual la </w:t>
      </w:r>
      <w:r>
        <w:rPr>
          <w:rFonts w:ascii="Arial" w:hAnsi="Arial"/>
          <w:b/>
          <w:i w:val="0"/>
          <w:sz w:val="28"/>
        </w:rPr>
        <w:t>[AUTORIDAD DEMANDADA]</w:t>
      </w:r>
      <w:r>
        <w:rPr>
          <w:rFonts w:ascii="Arial" w:hAnsi="Arial"/>
          <w:b w:val="0"/>
          <w:i w:val="0"/>
          <w:sz w:val="28"/>
        </w:rPr>
        <w:t xml:space="preserve"> fijó a cargo de </w:t>
      </w:r>
      <w:r>
        <w:rPr>
          <w:rFonts w:ascii="Arial" w:hAnsi="Arial"/>
          <w:b/>
          <w:i w:val="0"/>
          <w:sz w:val="28"/>
        </w:rPr>
        <w:t>[NOMBRE DE LA PARTE ACTORA]</w:t>
      </w:r>
      <w:r>
        <w:rPr>
          <w:rFonts w:ascii="Arial" w:hAnsi="Arial"/>
          <w:b w:val="0"/>
          <w:i w:val="0"/>
          <w:sz w:val="28"/>
        </w:rPr>
        <w:t xml:space="preserve"> un crédito fiscal de </w:t>
      </w:r>
      <w:r>
        <w:rPr>
          <w:rFonts w:ascii="Arial" w:hAnsi="Arial"/>
          <w:b/>
          <w:i w:val="0"/>
          <w:sz w:val="28"/>
        </w:rPr>
        <w:t>[MONTO DEL CRÉDITO FISCAL]</w:t>
      </w:r>
      <w:r>
        <w:rPr>
          <w:rFonts w:ascii="Arial" w:hAnsi="Arial"/>
          <w:b w:val="0"/>
          <w:i w:val="0"/>
          <w:sz w:val="28"/>
        </w:rPr>
        <w:t xml:space="preserve"> por el ejercicio </w:t>
      </w:r>
      <w:r>
        <w:rPr>
          <w:rFonts w:ascii="Arial" w:hAnsi="Arial"/>
          <w:b/>
          <w:i w:val="0"/>
          <w:sz w:val="28"/>
        </w:rPr>
        <w:t>[EJERCICIO REVISADO]</w:t>
      </w:r>
      <w:r>
        <w:rPr>
          <w:rFonts w:ascii="Arial" w:hAnsi="Arial"/>
          <w:b w:val="0"/>
          <w:i w:val="0"/>
          <w:sz w:val="28"/>
        </w:rPr>
        <w:t>, como desenlace de una revisión electrónica, surtió efectos frente a su destinataria cuando ya había vencido el plazo máximo que la ley concede a la fiscalizadora para emitir y notificar ese acto.</w:t>
      </w:r>
    </w:p>
    <w:p>
      <w:pPr>
        <w:spacing w:line="360" w:lineRule="auto"/>
        <w:jc w:val="both"/>
      </w:pPr>
      <w:r>
        <w:rPr>
          <w:rFonts w:ascii="Arial" w:hAnsi="Arial"/>
          <w:b w:val="0"/>
          <w:i w:val="0"/>
          <w:sz w:val="28"/>
        </w:rPr>
        <w:t xml:space="preserve">La demostración descansa en una secuencia verificable con las propias constancias, pues la resolución provisional se notificó el </w:t>
      </w:r>
      <w:r>
        <w:rPr>
          <w:rFonts w:ascii="Arial" w:hAnsi="Arial"/>
          <w:b/>
          <w:i w:val="0"/>
          <w:sz w:val="28"/>
        </w:rPr>
        <w:t>[FECHA DE NOTIFICACIÓN DE LA RESOLUCIÓN PROVISIONAL]</w:t>
      </w:r>
      <w:r>
        <w:rPr>
          <w:rFonts w:ascii="Arial" w:hAnsi="Arial"/>
          <w:b w:val="0"/>
          <w:i w:val="0"/>
          <w:sz w:val="28"/>
        </w:rPr>
        <w:t xml:space="preserve">, los quince días concedidos a la contribuyente para desvirtuar las irregularidades vencieron el </w:t>
      </w:r>
      <w:r>
        <w:rPr>
          <w:rFonts w:ascii="Arial" w:hAnsi="Arial"/>
          <w:b/>
          <w:i w:val="0"/>
          <w:sz w:val="28"/>
        </w:rPr>
        <w:t>[FECHA DE VENCIMIENTO DEL PLAZO DE QUINCE DÍAS]</w:t>
      </w:r>
      <w:r>
        <w:rPr>
          <w:rFonts w:ascii="Arial" w:hAnsi="Arial"/>
          <w:b w:val="0"/>
          <w:i w:val="0"/>
          <w:sz w:val="28"/>
        </w:rPr>
        <w:t xml:space="preserve">, los cuarenta días con que contaba la autoridad se agotaron el </w:t>
      </w:r>
      <w:r>
        <w:rPr>
          <w:rFonts w:ascii="Arial" w:hAnsi="Arial"/>
          <w:b/>
          <w:i w:val="0"/>
          <w:sz w:val="28"/>
        </w:rPr>
        <w:t>[FECHA DE VENCIMIENTO DEL PLAZO DE CUARENTA DÍAS]</w:t>
      </w:r>
      <w:r>
        <w:rPr>
          <w:rFonts w:ascii="Arial" w:hAnsi="Arial"/>
          <w:b w:val="0"/>
          <w:i w:val="0"/>
          <w:sz w:val="28"/>
        </w:rPr>
        <w:t xml:space="preserve"> y la determinación definitiva se dio a conocer legalmente hasta el </w:t>
      </w:r>
      <w:r>
        <w:rPr>
          <w:rFonts w:ascii="Arial" w:hAnsi="Arial"/>
          <w:b/>
          <w:i w:val="0"/>
          <w:sz w:val="28"/>
        </w:rPr>
        <w:t>[FECHA DE NOTIFICACIÓN O DE CONOCIMIENTO DE LA RESOLUCIÓN IMPUGNADA]</w:t>
      </w:r>
      <w:r>
        <w:rPr>
          <w:rFonts w:ascii="Arial" w:hAnsi="Arial"/>
          <w:b w:val="0"/>
          <w:i w:val="0"/>
          <w:sz w:val="28"/>
        </w:rPr>
        <w:t>.</w:t>
      </w:r>
    </w:p>
    <w:p>
      <w:pPr>
        <w:spacing w:line="360" w:lineRule="auto"/>
        <w:jc w:val="both"/>
      </w:pPr>
      <w:r>
        <w:rPr>
          <w:rFonts w:ascii="Arial" w:hAnsi="Arial"/>
          <w:b w:val="0"/>
          <w:i w:val="0"/>
          <w:sz w:val="28"/>
        </w:rPr>
        <w:t>Con esa secuencia se actualiza la causal de ilegalidad del artículo 51, fracción IV, de la Ley Federal de Procedimiento Contencioso Administrativo, porque la liquidación se dictó en contravención del precepto que limitaba en el tiempo la potestad ejercida y, en consecuencia, se emitió cuando ésta ya se había extinguido.</w:t>
      </w:r>
    </w:p>
    <w:p>
      <w:pPr>
        <w:spacing w:line="360" w:lineRule="auto"/>
        <w:jc w:val="both"/>
      </w:pPr>
      <w:r>
        <w:rPr>
          <w:rFonts w:ascii="Arial" w:hAnsi="Arial"/>
          <w:b w:val="0"/>
          <w:i w:val="0"/>
          <w:sz w:val="28"/>
        </w:rPr>
        <w:t>La consecuencia es la nulidad lisa y llana que autoriza el numeral 52, fracción II, de la ley procesal, y por ello se solicita el examen preferente de este planteamiento, con apoyo en el segundo párrafo de su artículo 50, ya que su acogimiento otorga a la parte actora el mayor beneficio posible en el juicio.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impugnado es la determinación definitiva identificada en el apartado anterior, emitida en ejercicio de la facultad que prevén los artículos 42, fracción IX, y 53-B del Código Fiscal de la Federación, que puso fin a la revisión electrónica abierta mediante la resolución provisional notificada a la parte actora el </w:t>
      </w:r>
      <w:r>
        <w:rPr>
          <w:rFonts w:ascii="Arial" w:hAnsi="Arial"/>
          <w:b/>
          <w:i w:val="0"/>
          <w:sz w:val="28"/>
        </w:rPr>
        <w:t>[FECHA DE NOTIFICACIÓN DE LA RESOLUCIÓN PROVISIONAL]</w:t>
      </w:r>
      <w:r>
        <w:rPr>
          <w:rFonts w:ascii="Arial" w:hAnsi="Arial"/>
          <w:b w:val="0"/>
          <w:i w:val="0"/>
          <w:sz w:val="28"/>
        </w:rPr>
        <w:t>, acompañada, en su caso, del oficio de preliquidación.</w:t>
      </w:r>
    </w:p>
    <w:p>
      <w:pPr>
        <w:spacing w:line="360" w:lineRule="auto"/>
        <w:jc w:val="both"/>
      </w:pPr>
      <w:r>
        <w:rPr>
          <w:rFonts w:ascii="Arial" w:hAnsi="Arial"/>
          <w:b w:val="0"/>
          <w:i w:val="0"/>
          <w:sz w:val="28"/>
        </w:rPr>
        <w:t>Las normas cuya inobservancia se plantea son el artículo 53-B, fracción IV, del Código Fiscal de la Federación, que fija a la fiscalizadora un término máximo para emitir y notificar la resolución que concluye la revisión electrónica, y el 16, primer párrafo, de la Constitución Política de los Estados Unidos Mexicanos, que sólo admite actos de molestia de autoridad competente que funde y motive la causa legal del procedimiento, exigencia que no se colma cuando la potestad se ejerce fuera del tiempo que el legislador le asignó.</w:t>
      </w:r>
    </w:p>
    <w:p>
      <w:pPr>
        <w:spacing w:line="360" w:lineRule="auto"/>
        <w:jc w:val="both"/>
      </w:pPr>
      <w:r>
        <w:rPr>
          <w:rFonts w:ascii="Arial" w:hAnsi="Arial"/>
          <w:b w:val="0"/>
          <w:i w:val="0"/>
          <w:sz w:val="28"/>
        </w:rPr>
        <w:t xml:space="preserve">El perjuicio es directo, pues con un acto expedido cuando la facultad ya había precluido se impone a la parte actora un crédito de </w:t>
      </w:r>
      <w:r>
        <w:rPr>
          <w:rFonts w:ascii="Arial" w:hAnsi="Arial"/>
          <w:b/>
          <w:i w:val="0"/>
          <w:sz w:val="28"/>
        </w:rPr>
        <w:t>[MONTO DEL CRÉDITO FISCAL]</w:t>
      </w:r>
      <w:r>
        <w:rPr>
          <w:rFonts w:ascii="Arial" w:hAnsi="Arial"/>
          <w:b w:val="0"/>
          <w:i w:val="0"/>
          <w:sz w:val="28"/>
        </w:rPr>
        <w:t xml:space="preserve"> con sus accesorios, exigible mediante el procedimiento administrativo de ejecución, y si este concepto prospera el beneficio es el mayor posible, porque la nulidad lisa y llana deja insubsistente la liquidación sin ordenar la reposición de una revisión cuyo plazo ya no puede volver a correr.</w:t>
      </w:r>
    </w:p>
    <w:p>
      <w:pPr>
        <w:spacing w:line="360" w:lineRule="auto"/>
        <w:jc w:val="both"/>
      </w:pPr>
      <w:r>
        <w:rPr>
          <w:rFonts w:ascii="Arial" w:hAnsi="Arial"/>
          <w:b w:val="0"/>
          <w:i w:val="0"/>
          <w:sz w:val="28"/>
        </w:rPr>
        <w:t xml:space="preserve">Cuando la autoridad invoque una notificación por buzón tributario practicada dentro de los cuarenta días, este planteamiento debe leerse junto con el </w:t>
      </w:r>
      <w:r>
        <w:rPr>
          <w:rFonts w:ascii="Arial" w:hAnsi="Arial"/>
          <w:b/>
          <w:i w:val="0"/>
          <w:sz w:val="28"/>
        </w:rPr>
        <w:t>[ORDINAL DEL CONCEPTO CONTRA LA NOTIFICACIÓN]</w:t>
      </w:r>
      <w:r>
        <w:rPr>
          <w:rFonts w:ascii="Arial" w:hAnsi="Arial"/>
          <w:b w:val="0"/>
          <w:i w:val="0"/>
          <w:sz w:val="28"/>
        </w:rPr>
        <w:t xml:space="preserve"> concepto de impugnación, en el que se combate la constancia de </w:t>
      </w:r>
      <w:r>
        <w:rPr>
          <w:rFonts w:ascii="Arial" w:hAnsi="Arial"/>
          <w:b/>
          <w:i w:val="0"/>
          <w:sz w:val="28"/>
        </w:rPr>
        <w:t>[FECHA DE LA CONSTANCIA DE NOTIFICACIÓN POR BUZÓN TRIBUTARIO]</w:t>
      </w:r>
      <w:r>
        <w:rPr>
          <w:rFonts w:ascii="Arial" w:hAnsi="Arial"/>
          <w:b w:val="0"/>
          <w:i w:val="0"/>
          <w:sz w:val="28"/>
        </w:rPr>
        <w:t>, ya que, conforme al artículo 16, fracciones I y III, de la Ley Federal de Procedimiento Contencioso Administrativo, ese reproche se estudia primero y, de resultar fundado, la persona demandante se tiene por sabedora del acto desde el día en que manifestó conocerlo, que es el que rige el cómputo.</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Conviene partir de la figura que subyace en todo plazo impuesto a una potestad pública, y el Diccionario de derecho procesal constitucional y convencional recoge como noción de caducidad la extinción de una facultad o de una acción por el mero transcurso del lapso que la ley configura como carga para su ejercicio.</w:t>
      </w:r>
      <w:r>
        <w:rPr>
          <w:rFonts w:ascii="Arial" w:hAnsi="Arial"/>
          <w:vertAlign w:val="superscript"/>
        </w:rPr>
        <w:t>1</w:t>
      </w:r>
    </w:p>
    <w:p>
      <w:pPr>
        <w:spacing w:line="360" w:lineRule="auto"/>
        <w:jc w:val="both"/>
      </w:pPr>
      <w:r>
        <w:rPr>
          <w:rFonts w:ascii="Arial" w:hAnsi="Arial"/>
          <w:b w:val="0"/>
          <w:i w:val="0"/>
          <w:sz w:val="28"/>
        </w:rPr>
        <w:t>Trasladada al ámbito tributario, esa noción explica por qué el poder de comprobación no es indefinido, ya que nace de la ley, se ejerce en los términos que ella marca y se agota de pleno derecho cuando éstos concluyen sin que la autoridad haya actuado en la forma prescrita.</w:t>
      </w:r>
    </w:p>
    <w:p>
      <w:pPr>
        <w:spacing w:line="360" w:lineRule="auto"/>
        <w:jc w:val="both"/>
      </w:pPr>
      <w:r>
        <w:rPr>
          <w:rFonts w:ascii="Arial" w:hAnsi="Arial"/>
          <w:b w:val="0"/>
          <w:i w:val="0"/>
          <w:sz w:val="28"/>
        </w:rPr>
        <w:t>A esa idea se suma el principio de legalidad, conforme al cual los poderes públicos sólo pueden realizar aquello para lo que la ley los faculta, pauta que la doctrina vincula con el propósito de evitar actos de autoridad arbitrarios.</w:t>
      </w:r>
      <w:r>
        <w:rPr>
          <w:rFonts w:ascii="Arial" w:hAnsi="Arial"/>
          <w:vertAlign w:val="superscript"/>
        </w:rPr>
        <w:t>2</w:t>
      </w:r>
    </w:p>
    <w:p>
      <w:pPr>
        <w:spacing w:line="360" w:lineRule="auto"/>
        <w:jc w:val="both"/>
      </w:pPr>
      <w:r>
        <w:rPr>
          <w:rFonts w:ascii="Arial" w:hAnsi="Arial"/>
          <w:b w:val="0"/>
          <w:i w:val="0"/>
          <w:sz w:val="28"/>
        </w:rPr>
        <w:t>La dimensión temporal forma parte de ese marco habilitante, de suerte que una atribución sujeta a término sólo existe dentro de él y, vencido éste, la determinación que pretenda ejercerla carece del soporte legal que el artículo 16 constitucional exige a todo acto de molestia.</w:t>
      </w:r>
    </w:p>
    <w:p>
      <w:pPr>
        <w:spacing w:line="360" w:lineRule="auto"/>
        <w:jc w:val="both"/>
      </w:pPr>
      <w:r>
        <w:rPr>
          <w:rFonts w:ascii="Arial" w:hAnsi="Arial"/>
          <w:b w:val="0"/>
          <w:i w:val="0"/>
          <w:sz w:val="28"/>
        </w:rPr>
        <w:t>Por su parte, la seguridad jurídica se ha definido como la certeza que tiene la persona de que su situación permanecerá y sólo podrá modificarse mediante procedimientos regulares, establecidos de antemano y con claridad por el derecho.</w:t>
      </w:r>
      <w:r>
        <w:rPr>
          <w:rFonts w:ascii="Arial" w:hAnsi="Arial"/>
          <w:vertAlign w:val="superscript"/>
        </w:rPr>
        <w:t>3</w:t>
      </w:r>
    </w:p>
    <w:p>
      <w:pPr>
        <w:spacing w:line="360" w:lineRule="auto"/>
        <w:jc w:val="both"/>
      </w:pPr>
      <w:r>
        <w:rPr>
          <w:rFonts w:ascii="Arial" w:hAnsi="Arial"/>
          <w:b w:val="0"/>
          <w:i w:val="0"/>
          <w:sz w:val="28"/>
        </w:rPr>
        <w:t>Una fiscalización cuyos plazos pudieran prolongarse a voluntad de quien la conduce dejaría de ser regular en ese sentido, porque la persona contribuyente ignoraría hasta cuándo su patrimonio puede ser alcanzado por una liquidación derivada de hechos que la propia autoridad ya le dio a conocer.</w:t>
      </w:r>
    </w:p>
    <w:p>
      <w:pPr>
        <w:spacing w:line="360" w:lineRule="auto"/>
        <w:jc w:val="both"/>
      </w:pPr>
      <w:r>
        <w:rPr>
          <w:rFonts w:ascii="Arial" w:hAnsi="Arial"/>
          <w:b w:val="0"/>
          <w:i w:val="0"/>
          <w:sz w:val="28"/>
        </w:rPr>
        <w:t xml:space="preserve">Sobre esa base debe leerse el artículo 53-B del Código Fiscal de la Federación, que regula las revisiones electrónicas previstas en la fracción IX del numeral 42 del propio ordenamiento y ordena dar a conocer los hechos en una resolución provisional, en la que se requerirá a la persona contribuyente para que, </w:t>
      </w:r>
      <w:r>
        <w:rPr>
          <w:rFonts w:ascii="Arial" w:hAnsi="Arial"/>
          <w:b w:val="0"/>
          <w:i/>
          <w:sz w:val="28"/>
        </w:rPr>
        <w:t>“en un plazo de quince días siguientes a la notificación de la citada resolución”</w:t>
      </w:r>
      <w:r>
        <w:rPr>
          <w:rFonts w:ascii="Arial" w:hAnsi="Arial"/>
          <w:b w:val="0"/>
          <w:i w:val="0"/>
          <w:sz w:val="28"/>
        </w:rPr>
        <w:t>, manifieste lo que a su derecho convenga y aporte la información y documentación que desvirtúe las irregularidades.</w:t>
      </w:r>
    </w:p>
    <w:p>
      <w:pPr>
        <w:spacing w:line="360" w:lineRule="auto"/>
        <w:jc w:val="both"/>
      </w:pPr>
      <w:r>
        <w:rPr>
          <w:rFonts w:ascii="Arial" w:hAnsi="Arial"/>
          <w:b w:val="0"/>
          <w:i w:val="0"/>
          <w:sz w:val="28"/>
        </w:rPr>
        <w:t xml:space="preserve">La fracción IV del mismo precepto dispone que </w:t>
      </w:r>
      <w:r>
        <w:rPr>
          <w:rFonts w:ascii="Arial" w:hAnsi="Arial"/>
          <w:b w:val="0"/>
          <w:i/>
          <w:sz w:val="28"/>
        </w:rPr>
        <w:t>“La autoridad contará con un plazo máximo de cuarenta días para la emisión y notificación de la resolución con base en la información y documentación con que se cuente en el expediente”</w:t>
      </w:r>
      <w:r>
        <w:rPr>
          <w:rFonts w:ascii="Arial" w:hAnsi="Arial"/>
          <w:b w:val="0"/>
          <w:i w:val="0"/>
          <w:sz w:val="28"/>
        </w:rPr>
        <w:t>, y precisa que el cómputo inicia, según el caso, cuando venza el término otorgado en la resolución provisional o se desahoguen las pruebas ofrecidas, cuando expire el del segundo requerimiento o cuando concluya el que se concede para manifestarse sobre lo aportado por un tercero.</w:t>
      </w:r>
    </w:p>
    <w:p>
      <w:pPr>
        <w:spacing w:line="360" w:lineRule="auto"/>
        <w:jc w:val="both"/>
      </w:pPr>
      <w:r>
        <w:rPr>
          <w:rFonts w:ascii="Arial" w:hAnsi="Arial"/>
          <w:b w:val="0"/>
          <w:i w:val="0"/>
          <w:sz w:val="28"/>
        </w:rPr>
        <w:t>El enunciado abarca dos actuaciones, la emisión y la notificación, de manera que no basta que la resolución se firme dentro de los cuarenta días si no se da a conocer legalmente a su destinataria en ese mismo lapso, pues sólo al serle comunicada produce efectos frente a ella y le permite defenderse.</w:t>
      </w:r>
    </w:p>
    <w:p>
      <w:pPr>
        <w:spacing w:line="360" w:lineRule="auto"/>
        <w:jc w:val="both"/>
      </w:pPr>
      <w:r>
        <w:rPr>
          <w:rFonts w:ascii="Arial" w:hAnsi="Arial"/>
          <w:b w:val="0"/>
          <w:i w:val="0"/>
          <w:sz w:val="28"/>
        </w:rPr>
        <w:t xml:space="preserve">El propio dispositivo confirma el carácter perentorio de los términos del procedimiento, porque establece que, concluidos los otorgados a la persona contribuyente para manifestarse sobre los hechos u omisiones que se le dieron a conocer, </w:t>
      </w:r>
      <w:r>
        <w:rPr>
          <w:rFonts w:ascii="Arial" w:hAnsi="Arial"/>
          <w:b w:val="0"/>
          <w:i/>
          <w:sz w:val="28"/>
        </w:rPr>
        <w:t>“se tendrá por perdido el derecho para realizarlo”</w:t>
      </w:r>
      <w:r>
        <w:rPr>
          <w:rFonts w:ascii="Arial" w:hAnsi="Arial"/>
          <w:b w:val="0"/>
          <w:i w:val="0"/>
          <w:sz w:val="28"/>
        </w:rPr>
        <w:t xml:space="preserve">, y no hay razón jurídica para que el fijado a la autoridad, que la norma califica como </w:t>
      </w:r>
      <w:r>
        <w:rPr>
          <w:rFonts w:ascii="Arial" w:hAnsi="Arial"/>
          <w:b w:val="0"/>
          <w:i/>
          <w:sz w:val="28"/>
        </w:rPr>
        <w:t>“plazo máximo”</w:t>
      </w:r>
      <w:r>
        <w:rPr>
          <w:rFonts w:ascii="Arial" w:hAnsi="Arial"/>
          <w:b w:val="0"/>
          <w:i w:val="0"/>
          <w:sz w:val="28"/>
        </w:rPr>
        <w:t>, tenga una fuerza menor que el impuesto a la particular.</w:t>
      </w:r>
    </w:p>
    <w:p>
      <w:pPr>
        <w:spacing w:line="360" w:lineRule="auto"/>
        <w:jc w:val="both"/>
      </w:pPr>
      <w:r>
        <w:rPr>
          <w:rFonts w:ascii="Arial" w:hAnsi="Arial"/>
          <w:b w:val="0"/>
          <w:i w:val="0"/>
          <w:sz w:val="28"/>
        </w:rPr>
        <w:t xml:space="preserve">La consecuencia procesal del incumplimiento la establece la Ley Federal de Procedimiento Contencioso Administrativo, cuyo artículo 51, fracción IV, declara ilegal la resolución que </w:t>
      </w:r>
      <w:r>
        <w:rPr>
          <w:rFonts w:ascii="Arial" w:hAnsi="Arial"/>
          <w:b w:val="0"/>
          <w:i/>
          <w:sz w:val="28"/>
        </w:rPr>
        <w:t>“se dictó en contravención de las disposiciones aplicadas o dejó de aplicar las debidas, en cuanto al fondo del asunto”</w:t>
      </w:r>
      <w:r>
        <w:rPr>
          <w:rFonts w:ascii="Arial" w:hAnsi="Arial"/>
          <w:b w:val="0"/>
          <w:i w:val="0"/>
          <w:sz w:val="28"/>
        </w:rPr>
        <w:t>, hipótesis en la que encaja el acto expedido después de extinguida la potestad que lo sustenta, como lo ha resuelto una Sala Regional de este Tribunal en un caso análogo.</w:t>
      </w:r>
    </w:p>
    <w:p>
      <w:pPr>
        <w:spacing w:line="360" w:lineRule="auto"/>
        <w:jc w:val="both"/>
      </w:pPr>
      <w:r>
        <w:rPr>
          <w:rFonts w:ascii="Arial" w:hAnsi="Arial"/>
          <w:b w:val="0"/>
          <w:i w:val="0"/>
          <w:sz w:val="28"/>
        </w:rPr>
        <w:t>A su vez, el numeral 52 de esa ley prevé la anulación para el efecto de que se reponga el procedimiento o se emita nueva resolución cuando se actualizan las causales II y III del precepto anterior, relativas a requisitos formales y a vicios de trámite, mientras que el defecto aquí planteado atañe al fondo y conduce a la declaratoria de nulidad de su fracción II, sin materia para rehacer una revisión cuyo plazo ya se consumió.</w:t>
      </w:r>
    </w:p>
    <w:p>
      <w:pPr>
        <w:spacing w:line="360" w:lineRule="auto"/>
        <w:jc w:val="both"/>
      </w:pPr>
      <w:r>
        <w:rPr>
          <w:rFonts w:ascii="Arial" w:hAnsi="Arial"/>
          <w:b w:val="0"/>
          <w:i w:val="0"/>
          <w:sz w:val="28"/>
        </w:rPr>
        <w:t xml:space="preserve">Cuando la oportunidad de la notificación está en disputa, el artículo 16 de la ley procesal ordena estudiar primero los conceptos dirigidos contra ella y, si se resuelve que fue ilegal, considerar que la persona demandante </w:t>
      </w:r>
      <w:r>
        <w:rPr>
          <w:rFonts w:ascii="Arial" w:hAnsi="Arial"/>
          <w:b w:val="0"/>
          <w:i/>
          <w:sz w:val="28"/>
        </w:rPr>
        <w:t>“fue sabedora de la resolución administrativa desde la fecha en que manifestó conocerla”</w:t>
      </w:r>
      <w:r>
        <w:rPr>
          <w:rFonts w:ascii="Arial" w:hAnsi="Arial"/>
          <w:b w:val="0"/>
          <w:i w:val="0"/>
          <w:sz w:val="28"/>
        </w:rPr>
        <w:t>, con lo cual ese día reemplaza al de la diligencia anulada para efectos del cómputo que aquí se examina.</w:t>
      </w:r>
    </w:p>
    <w:p>
      <w:pPr>
        <w:spacing w:line="360" w:lineRule="auto"/>
        <w:jc w:val="both"/>
      </w:pPr>
      <w:r>
        <w:rPr>
          <w:rFonts w:ascii="Arial" w:hAnsi="Arial"/>
          <w:b w:val="0"/>
          <w:i w:val="0"/>
          <w:sz w:val="28"/>
        </w:rPr>
        <w:t xml:space="preserve">En cuanto a la notificación por buzón tributario, el artículo 134, fracción I, del Código Fiscal de la Federación dispone que </w:t>
      </w:r>
      <w:r>
        <w:rPr>
          <w:rFonts w:ascii="Arial" w:hAnsi="Arial"/>
          <w:b w:val="0"/>
          <w:i/>
          <w:sz w:val="28"/>
        </w:rPr>
        <w:t>“Las notificaciones en el buzón tributario serán emitidas anexando el sello digital correspondiente, conforme a lo señalado en los artículos 17-D y 38, fracción V de este Código”</w:t>
      </w:r>
      <w:r>
        <w:rPr>
          <w:rFonts w:ascii="Arial" w:hAnsi="Arial"/>
          <w:b w:val="0"/>
          <w:i w:val="0"/>
          <w:sz w:val="28"/>
        </w:rPr>
        <w:t>, preceptos que regulan la firma electrónica avanzada del funcionario competente y prevén que la integridad y autoría del documento sellado puedan comprobarse por los medios que establezca el Servicio de Administración Tributaria.</w:t>
      </w:r>
    </w:p>
    <w:p>
      <w:pPr>
        <w:spacing w:line="360" w:lineRule="auto"/>
        <w:jc w:val="both"/>
      </w:pPr>
      <w:r>
        <w:rPr>
          <w:rFonts w:ascii="Arial" w:hAnsi="Arial"/>
          <w:b w:val="0"/>
          <w:i w:val="0"/>
          <w:sz w:val="28"/>
        </w:rPr>
        <w:t>La doctrina de la prueba documental denomina autenticidad a la certeza de que el escrito procede del autor que en él se indica, y la asocia, tratándose de instrumentos privados, con la firma que lo suscribe.</w:t>
      </w:r>
      <w:r>
        <w:rPr>
          <w:rFonts w:ascii="Arial" w:hAnsi="Arial"/>
          <w:vertAlign w:val="superscript"/>
        </w:rPr>
        <w:t>4</w:t>
      </w:r>
    </w:p>
    <w:p>
      <w:pPr>
        <w:spacing w:line="360" w:lineRule="auto"/>
        <w:jc w:val="both"/>
      </w:pPr>
      <w:r>
        <w:rPr>
          <w:rFonts w:ascii="Arial" w:hAnsi="Arial"/>
          <w:b w:val="0"/>
          <w:i w:val="0"/>
          <w:sz w:val="28"/>
        </w:rPr>
        <w:t>En el soporte digital esa función la cumple la firma electrónica avanzada, que según el artículo 17-D del código tributario sustituye a la autógrafa y garantiza la integridad del archivo, de modo que un sello cuya autoría no puede verificarse no demuestra que la constancia provenga de un funcionario identificable.</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porque la resolución provisional se notificó a la parte actora el </w:t>
      </w:r>
      <w:r>
        <w:rPr>
          <w:rFonts w:ascii="Arial" w:hAnsi="Arial"/>
          <w:b/>
          <w:i w:val="0"/>
          <w:sz w:val="28"/>
        </w:rPr>
        <w:t>[FECHA DE NOTIFICACIÓN DE LA RESOLUCIÓN PROVISIONAL]</w:t>
      </w:r>
      <w:r>
        <w:rPr>
          <w:rFonts w:ascii="Arial" w:hAnsi="Arial"/>
          <w:b w:val="0"/>
          <w:i w:val="0"/>
          <w:sz w:val="28"/>
        </w:rPr>
        <w:t xml:space="preserve"> y el término de quince días para desvirtuar las irregularidades venció el </w:t>
      </w:r>
      <w:r>
        <w:rPr>
          <w:rFonts w:ascii="Arial" w:hAnsi="Arial"/>
          <w:b/>
          <w:i w:val="0"/>
          <w:sz w:val="28"/>
        </w:rPr>
        <w:t>[FECHA DE VENCIMIENTO DEL PLAZO DE QUINCE DÍAS]</w:t>
      </w:r>
      <w:r>
        <w:rPr>
          <w:rFonts w:ascii="Arial" w:hAnsi="Arial"/>
          <w:b w:val="0"/>
          <w:i w:val="0"/>
          <w:sz w:val="28"/>
        </w:rPr>
        <w:t xml:space="preserve">, dato que la propia autoridad reconoce en </w:t>
      </w:r>
      <w:r>
        <w:rPr>
          <w:rFonts w:ascii="Arial" w:hAnsi="Arial"/>
          <w:b/>
          <w:i w:val="0"/>
          <w:sz w:val="28"/>
        </w:rPr>
        <w:t>[PÁGINA DE LA RESOLUCIÓN IMPUGNADA QUE FIJA ESE VENCIMIENTO]</w:t>
      </w:r>
      <w:r>
        <w:rPr>
          <w:rFonts w:ascii="Arial" w:hAnsi="Arial"/>
          <w:b w:val="0"/>
          <w:i w:val="0"/>
          <w:sz w:val="28"/>
        </w:rPr>
        <w:t xml:space="preserve"> de la liquidación impugnada, sin que en el expediente conste un segundo requerimiento ni una solicitud de información a terceros que desplazara el inicio del cómputo.</w:t>
      </w:r>
    </w:p>
    <w:p>
      <w:pPr>
        <w:spacing w:line="360" w:lineRule="auto"/>
        <w:jc w:val="both"/>
      </w:pPr>
      <w:r>
        <w:rPr>
          <w:rFonts w:ascii="Arial" w:hAnsi="Arial"/>
          <w:b w:val="0"/>
          <w:i w:val="0"/>
          <w:sz w:val="28"/>
        </w:rPr>
        <w:t xml:space="preserve">Conforme al inciso a) de la fracción IV del artículo 53-B, el plazo de cuarenta días comenzó a correr el siguiente día hábil y, excluidos los inhábiles, concluyó el </w:t>
      </w:r>
      <w:r>
        <w:rPr>
          <w:rFonts w:ascii="Arial" w:hAnsi="Arial"/>
          <w:b/>
          <w:i w:val="0"/>
          <w:sz w:val="28"/>
        </w:rPr>
        <w:t>[FECHA DE VENCIMIENTO DEL PLAZO DE CUARENTA DÍAS]</w:t>
      </w:r>
      <w:r>
        <w:rPr>
          <w:rFonts w:ascii="Arial" w:hAnsi="Arial"/>
          <w:b w:val="0"/>
          <w:i w:val="0"/>
          <w:sz w:val="28"/>
        </w:rPr>
        <w:t>, límite para que la autoridad emitiera y notificara la determinación definitiva.</w:t>
      </w:r>
    </w:p>
    <w:p>
      <w:pPr>
        <w:spacing w:line="360" w:lineRule="auto"/>
        <w:jc w:val="both"/>
      </w:pPr>
      <w:r>
        <w:rPr>
          <w:rFonts w:ascii="Arial" w:hAnsi="Arial"/>
          <w:b w:val="0"/>
          <w:i w:val="0"/>
          <w:sz w:val="28"/>
        </w:rPr>
        <w:t xml:space="preserve">Sin embargo, la resolución impugnada surtió efectos frente a la parte actora hasta el </w:t>
      </w:r>
      <w:r>
        <w:rPr>
          <w:rFonts w:ascii="Arial" w:hAnsi="Arial"/>
          <w:b/>
          <w:i w:val="0"/>
          <w:sz w:val="28"/>
        </w:rPr>
        <w:t>[FECHA DE NOTIFICACIÓN O DE CONOCIMIENTO DE LA RESOLUCIÓN IMPUGNADA]</w:t>
      </w:r>
      <w:r>
        <w:rPr>
          <w:rFonts w:ascii="Arial" w:hAnsi="Arial"/>
          <w:b w:val="0"/>
          <w:i w:val="0"/>
          <w:sz w:val="28"/>
        </w:rPr>
        <w:t xml:space="preserve">, cuando el término ya se había agotado, de modo que, aun si se admitiera que el oficio se firmó el </w:t>
      </w:r>
      <w:r>
        <w:rPr>
          <w:rFonts w:ascii="Arial" w:hAnsi="Arial"/>
          <w:b/>
          <w:i w:val="0"/>
          <w:sz w:val="28"/>
        </w:rPr>
        <w:t>[FECHA DE EMISIÓN DE LA RESOLUCIÓN IMPUGNADA]</w:t>
      </w:r>
      <w:r>
        <w:rPr>
          <w:rFonts w:ascii="Arial" w:hAnsi="Arial"/>
          <w:b w:val="0"/>
          <w:i w:val="0"/>
          <w:sz w:val="28"/>
        </w:rPr>
        <w:t>, dentro del lapso legal, la segunda de las actuaciones que la norma exige ocurrió fuera de él.</w:t>
      </w:r>
    </w:p>
    <w:p>
      <w:pPr>
        <w:spacing w:line="360" w:lineRule="auto"/>
        <w:jc w:val="both"/>
      </w:pPr>
      <w:r>
        <w:rPr>
          <w:rFonts w:ascii="Arial" w:hAnsi="Arial"/>
          <w:b w:val="0"/>
          <w:i w:val="0"/>
          <w:sz w:val="28"/>
        </w:rPr>
        <w:t xml:space="preserve">Para el supuesto de que la autoridad sostenga que notificó por buzón tributario el </w:t>
      </w:r>
      <w:r>
        <w:rPr>
          <w:rFonts w:ascii="Arial" w:hAnsi="Arial"/>
          <w:b/>
          <w:i w:val="0"/>
          <w:sz w:val="28"/>
        </w:rPr>
        <w:t>[FECHA DE LA CONSTANCIA DE NOTIFICACIÓN POR BUZÓN TRIBUTARIO]</w:t>
      </w:r>
      <w:r>
        <w:rPr>
          <w:rFonts w:ascii="Arial" w:hAnsi="Arial"/>
          <w:b w:val="0"/>
          <w:i w:val="0"/>
          <w:sz w:val="28"/>
        </w:rPr>
        <w:t xml:space="preserve">, esa constancia se controvierte en el </w:t>
      </w:r>
      <w:r>
        <w:rPr>
          <w:rFonts w:ascii="Arial" w:hAnsi="Arial"/>
          <w:b/>
          <w:i w:val="0"/>
          <w:sz w:val="28"/>
        </w:rPr>
        <w:t>[ORDINAL DEL CONCEPTO CONTRA LA NOTIFICACIÓN]</w:t>
      </w:r>
      <w:r>
        <w:rPr>
          <w:rFonts w:ascii="Arial" w:hAnsi="Arial"/>
          <w:b w:val="0"/>
          <w:i w:val="0"/>
          <w:sz w:val="28"/>
        </w:rPr>
        <w:t xml:space="preserve"> concepto de impugnación, porque el sello digital que ostenta no permite identificar a la persona física que lo generó, el código de respuesta rápida no despliega documento alguno y los medios de verificación que en ella se indican no conducen a comprobar su autoría, de suerte que, anulada esa diligencia, rige la fecha de conocimiento manifestada en la demanda.</w:t>
      </w:r>
    </w:p>
    <w:p>
      <w:pPr>
        <w:spacing w:line="360" w:lineRule="auto"/>
        <w:jc w:val="both"/>
      </w:pPr>
      <w:r>
        <w:rPr>
          <w:rFonts w:ascii="Arial" w:hAnsi="Arial"/>
          <w:b w:val="0"/>
          <w:i w:val="0"/>
          <w:sz w:val="28"/>
        </w:rPr>
        <w:t xml:space="preserve">En cualquiera de los dos escenarios la subsunción es directa, pues la liquidación surtió efectos frente a la contribuyente después del </w:t>
      </w:r>
      <w:r>
        <w:rPr>
          <w:rFonts w:ascii="Arial" w:hAnsi="Arial"/>
          <w:b/>
          <w:i w:val="0"/>
          <w:sz w:val="28"/>
        </w:rPr>
        <w:t>[FECHA DE VENCIMIENTO DEL PLAZO DE CUARENTA DÍAS]</w:t>
      </w:r>
      <w:r>
        <w:rPr>
          <w:rFonts w:ascii="Arial" w:hAnsi="Arial"/>
          <w:b w:val="0"/>
          <w:i w:val="0"/>
          <w:sz w:val="28"/>
        </w:rPr>
        <w:t>, de manera que la autoridad expidió un acto que el ordenamiento ya no le permitía emitir y se actualiza la causal de ilegalidad de la fracción IV del artículo 51 de la ley procesal.</w:t>
      </w:r>
    </w:p>
    <w:p>
      <w:pPr>
        <w:spacing w:line="360" w:lineRule="auto"/>
        <w:jc w:val="both"/>
      </w:pPr>
      <w:r>
        <w:rPr>
          <w:rFonts w:ascii="Arial" w:hAnsi="Arial"/>
          <w:b w:val="0"/>
          <w:i w:val="0"/>
          <w:sz w:val="28"/>
        </w:rPr>
        <w:t xml:space="preserve">Frente a ello, si la autoridad sostiene que basta que la resolución se haya emitido el </w:t>
      </w:r>
      <w:r>
        <w:rPr>
          <w:rFonts w:ascii="Arial" w:hAnsi="Arial"/>
          <w:b/>
          <w:i w:val="0"/>
          <w:sz w:val="28"/>
        </w:rPr>
        <w:t>[FECHA DE EMISIÓN DE LA RESOLUCIÓN IMPUGNADA]</w:t>
      </w:r>
      <w:r>
        <w:rPr>
          <w:rFonts w:ascii="Arial" w:hAnsi="Arial"/>
          <w:b w:val="0"/>
          <w:i w:val="0"/>
          <w:sz w:val="28"/>
        </w:rPr>
        <w:t xml:space="preserve">, dentro de los cuarenta días, incurre en la falacia de énfasis, en la que el razonamiento se vuelve engañoso porque su significado cambia según las partes que se destacan o se sacan de contexto, ya que aísla la palabra </w:t>
      </w:r>
      <w:r>
        <w:rPr>
          <w:rFonts w:ascii="Arial" w:hAnsi="Arial"/>
          <w:b w:val="0"/>
          <w:i/>
          <w:sz w:val="28"/>
        </w:rPr>
        <w:t>“emisión”</w:t>
      </w:r>
      <w:r>
        <w:rPr>
          <w:rFonts w:ascii="Arial" w:hAnsi="Arial"/>
          <w:b w:val="0"/>
          <w:i w:val="0"/>
          <w:sz w:val="28"/>
        </w:rPr>
        <w:t xml:space="preserve"> y suprime la conjunción que, en el texto legal, la une con la notificación.</w:t>
      </w:r>
      <w:r>
        <w:rPr>
          <w:rFonts w:ascii="Arial" w:hAnsi="Arial"/>
          <w:vertAlign w:val="superscript"/>
        </w:rPr>
        <w:t>5</w:t>
      </w:r>
    </w:p>
    <w:p>
      <w:pPr>
        <w:spacing w:line="360" w:lineRule="auto"/>
        <w:jc w:val="both"/>
      </w:pPr>
      <w:r>
        <w:rPr>
          <w:rFonts w:ascii="Arial" w:hAnsi="Arial"/>
          <w:b w:val="0"/>
          <w:i w:val="0"/>
          <w:sz w:val="28"/>
        </w:rPr>
        <w:t>Leído completo, el precepto exige que ambos actos ocurran dentro del plazo, y la razón está en que una resolución firmada pero no notificada no produce efectos frente a su destinataria ni le permite defenderse, de modo que la certeza que el término procura sólo se alcanza cuando la persona contribuyente conoce legalmente la determinación.</w:t>
      </w:r>
    </w:p>
    <w:p>
      <w:pPr>
        <w:spacing w:line="360" w:lineRule="auto"/>
        <w:jc w:val="both"/>
      </w:pPr>
      <w:r>
        <w:rPr>
          <w:rFonts w:ascii="Arial" w:hAnsi="Arial"/>
          <w:b w:val="0"/>
          <w:i w:val="0"/>
          <w:sz w:val="28"/>
        </w:rPr>
        <w:t>Si la autoridad alega, en cambio, que el artículo 53-B no establece consecuencia expresa para el incumplimiento del plazo y que, por ello, éste es meramente indicativo, su argumento es un non sequitur, denominación genérica de los razonamientos cuya conclusión no se sigue de las premisas, porque de la falta de una sanción en el propio precepto no se deriva permiso alguno para actuar a destiempo.</w:t>
      </w:r>
      <w:r>
        <w:rPr>
          <w:rFonts w:ascii="Arial" w:hAnsi="Arial"/>
          <w:vertAlign w:val="superscript"/>
        </w:rPr>
        <w:t>6</w:t>
      </w:r>
    </w:p>
    <w:p>
      <w:pPr>
        <w:spacing w:line="360" w:lineRule="auto"/>
        <w:jc w:val="both"/>
      </w:pPr>
      <w:r>
        <w:rPr>
          <w:rFonts w:ascii="Arial" w:hAnsi="Arial"/>
          <w:b w:val="0"/>
          <w:i w:val="0"/>
          <w:sz w:val="28"/>
        </w:rPr>
        <w:t xml:space="preserve">La consecuencia del incumplimiento no tiene por qué constar en la misma norma que impone el término, porque la ley procesal la establece de modo general al declarar ilegal toda resolución dictada en contravención de las disposiciones aplicadas, y el propio código tributario lo califica como </w:t>
      </w:r>
      <w:r>
        <w:rPr>
          <w:rFonts w:ascii="Arial" w:hAnsi="Arial"/>
          <w:b w:val="0"/>
          <w:i/>
          <w:sz w:val="28"/>
        </w:rPr>
        <w:t>“plazo máximo”</w:t>
      </w:r>
      <w:r>
        <w:rPr>
          <w:rFonts w:ascii="Arial" w:hAnsi="Arial"/>
          <w:b w:val="0"/>
          <w:i w:val="0"/>
          <w:sz w:val="28"/>
        </w:rPr>
        <w:t>, expresión que carecería de sentido si su vencimiento no produjera efecto alguno.</w:t>
      </w:r>
    </w:p>
    <w:p>
      <w:pPr>
        <w:spacing w:line="360" w:lineRule="auto"/>
        <w:jc w:val="both"/>
      </w:pPr>
      <w:r>
        <w:rPr>
          <w:rFonts w:ascii="Arial" w:hAnsi="Arial"/>
          <w:b w:val="0"/>
          <w:i w:val="0"/>
          <w:sz w:val="28"/>
        </w:rPr>
        <w:t>Tampoco es útil invocar que la revisión concluyó dentro del plazo global de seis meses que el último párrafo del precepto fija para terminar el procedimiento, porque se trata de un límite distinto y concurrente, de suerte que cumplir el más amplio no demuestra que se haya respetado el de cuarenta días, que se inserta en aquél con un punto de partida propio, y el argumento prueba algo diverso de lo que se discute.</w:t>
      </w:r>
    </w:p>
    <w:p>
      <w:pPr>
        <w:spacing w:line="360" w:lineRule="auto"/>
        <w:jc w:val="both"/>
      </w:pPr>
      <w:r>
        <w:rPr>
          <w:rFonts w:ascii="Arial" w:hAnsi="Arial"/>
          <w:b w:val="0"/>
          <w:i w:val="0"/>
          <w:sz w:val="28"/>
        </w:rPr>
        <w:t xml:space="preserve">Por último, si la autoridad pretende acreditar la oportunidad de su resolución con la constancia de </w:t>
      </w:r>
      <w:r>
        <w:rPr>
          <w:rFonts w:ascii="Arial" w:hAnsi="Arial"/>
          <w:b/>
          <w:i w:val="0"/>
          <w:sz w:val="28"/>
        </w:rPr>
        <w:t>[FECHA DE LA CONSTANCIA DE NOTIFICACIÓN POR BUZÓN TRIBUTARIO]</w:t>
      </w:r>
      <w:r>
        <w:rPr>
          <w:rFonts w:ascii="Arial" w:hAnsi="Arial"/>
          <w:b w:val="0"/>
          <w:i w:val="0"/>
          <w:sz w:val="28"/>
        </w:rPr>
        <w:t>, da por demostrado lo que precisamente se discute, que es la validez de esa diligencia, vicio conocido como petición de principio, y su conclusión carece de apoyo mientras no acredite que el sello digital del documento es resultado de la firma electrónica avanzada de un funcionario identificable.</w:t>
      </w:r>
    </w:p>
    <w:p>
      <w:pPr>
        <w:spacing w:line="360" w:lineRule="auto"/>
        <w:jc w:val="both"/>
      </w:pPr>
      <w:r>
        <w:rPr>
          <w:rFonts w:ascii="Arial" w:hAnsi="Arial"/>
          <w:b w:val="0"/>
          <w:i w:val="0"/>
          <w:sz w:val="28"/>
        </w:rPr>
        <w:t>A ello no obsta que la constancia se califique de automática, pues, como lo ha reconocido una Sala Regional de este Tribunal en un caso análogo, si el documento ofrece mecanismos para comprobar su autoría es porque supone un autor, y el Servicio de Administración Tributaria, como ficción jurídica, sólo actúa por conducto de personas físicas cuya firma debe poder verificarse.</w:t>
      </w:r>
    </w:p>
    <w:p>
      <w:pPr>
        <w:spacing w:line="360" w:lineRule="auto"/>
        <w:jc w:val="both"/>
      </w:pPr>
      <w:r>
        <w:rPr>
          <w:rFonts w:ascii="Arial" w:hAnsi="Arial"/>
          <w:b w:val="0"/>
          <w:i w:val="0"/>
          <w:sz w:val="28"/>
        </w:rPr>
        <w:t>Aceptar cualquiera de esas defensas conduciría a un resultado incompatible con la seguridad jurídica, porque si el plazo de cuarenta días pudiera cumplirse con la sola firma del oficio, absorberse en el máximo de seis meses o ignorarse por falta de sanción expresa, la autoridad dispondría a su arbitrio de la duración de una revisión diseñada con términos breves y perentorios, y el límite temporal de su potestad quedaría reducido a una fórmula sin contenido.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la autoridad contaba con un plazo máximo de cuarenta días, computado a partir del vencimiento ocurrido el </w:t>
      </w:r>
      <w:r>
        <w:rPr>
          <w:rFonts w:ascii="Arial" w:hAnsi="Arial"/>
          <w:b/>
          <w:i w:val="0"/>
          <w:sz w:val="28"/>
        </w:rPr>
        <w:t>[FECHA DE VENCIMIENTO DEL PLAZO DE QUINCE DÍAS]</w:t>
      </w:r>
      <w:r>
        <w:rPr>
          <w:rFonts w:ascii="Arial" w:hAnsi="Arial"/>
          <w:b w:val="0"/>
          <w:i w:val="0"/>
          <w:sz w:val="28"/>
        </w:rPr>
        <w:t xml:space="preserve">, para emitir y notificar la resolución definitiva de la revisión electrónica; ese término expiró el </w:t>
      </w:r>
      <w:r>
        <w:rPr>
          <w:rFonts w:ascii="Arial" w:hAnsi="Arial"/>
          <w:b/>
          <w:i w:val="0"/>
          <w:sz w:val="28"/>
        </w:rPr>
        <w:t>[FECHA DE VENCIMIENTO DEL PLAZO DE CUARENTA DÍAS]</w:t>
      </w:r>
      <w:r>
        <w:rPr>
          <w:rFonts w:ascii="Arial" w:hAnsi="Arial"/>
          <w:b w:val="0"/>
          <w:i w:val="0"/>
          <w:sz w:val="28"/>
        </w:rPr>
        <w:t xml:space="preserve">, y la determinación surtió efectos frente a la parte actora hasta el </w:t>
      </w:r>
      <w:r>
        <w:rPr>
          <w:rFonts w:ascii="Arial" w:hAnsi="Arial"/>
          <w:b/>
          <w:i w:val="0"/>
          <w:sz w:val="28"/>
        </w:rPr>
        <w:t>[FECHA DE NOTIFICACIÓN O DE CONOCIMIENTO DE LA RESOLUCIÓN IMPUGNADA]</w:t>
      </w:r>
      <w:r>
        <w:rPr>
          <w:rFonts w:ascii="Arial" w:hAnsi="Arial"/>
          <w:b w:val="0"/>
          <w:i w:val="0"/>
          <w:sz w:val="28"/>
        </w:rPr>
        <w:t>, cuando la potestad ya se había extinguido.</w:t>
      </w:r>
    </w:p>
    <w:p>
      <w:pPr>
        <w:spacing w:line="360" w:lineRule="auto"/>
        <w:jc w:val="both"/>
      </w:pPr>
      <w:r>
        <w:rPr>
          <w:rFonts w:ascii="Arial" w:hAnsi="Arial"/>
          <w:b w:val="0"/>
          <w:i w:val="0"/>
          <w:sz w:val="28"/>
        </w:rPr>
        <w:t>Por lo expuesto, procede declarar fundado este concepto de impugnación y decretar la nulidad lisa y llana del acto controvertido, con fundamento en las fracciones IV del artículo 51 y II del numeral 52 de la Ley Federal de Procedimiento Contencioso Administrativo, y se solicita su estudio preferente conforme al segundo párrafo del dispositivo 50 del mismo ordenamiento, porque su acogimiento otorga a la parte actora el mayor beneficio y hace innecesario el examen de los restantes.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189.</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1871.</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CUSI ALANOCA, José Luis, </w:t>
      </w:r>
      <w:r>
        <w:rPr>
          <w:rFonts w:ascii="Arial" w:hAnsi="Arial"/>
          <w:i/>
          <w:sz w:val="20"/>
        </w:rPr>
        <w:t>Sana crítica, la garantía del debido proceso constitucional y seguridad jurídica. Una aproximación al lenguaje del sistema de protección de los derechos fundamentales</w:t>
      </w:r>
      <w:r>
        <w:rPr>
          <w:rFonts w:ascii="Arial" w:hAnsi="Arial"/>
          <w:i w:val="0"/>
          <w:sz w:val="20"/>
        </w:rPr>
        <w:t>, Corporación de Estudios y Publicaciones (CEP), Quito, 2022, p. 258.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 p. 33.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94.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64.</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CUSI ALANOCA, José Luis, </w:t>
      </w:r>
      <w:r>
        <w:rPr>
          <w:rFonts w:ascii="Arial" w:hAnsi="Arial"/>
          <w:i/>
          <w:sz w:val="20"/>
        </w:rPr>
        <w:t>Sana crítica, la garantía del debido proceso constitucional y seguridad jurídica. Una aproximación al lenguaje del sistema de protección de los derechos fundamentales</w:t>
      </w:r>
      <w:r>
        <w:rPr>
          <w:rFonts w:ascii="Arial" w:hAnsi="Arial"/>
          <w:i w:val="0"/>
          <w:sz w:val="20"/>
        </w:rPr>
        <w:t>, Corporación de Estudios y Publicaciones (CEP), Quito, 2022.</w:t>
      </w:r>
    </w:p>
    <w:p>
      <w:pPr>
        <w:spacing w:after="60"/>
        <w:ind w:left="360" w:hanging="360"/>
        <w:jc w:val="both"/>
      </w:pP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