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COMPETENCIA NO FUNDADA EN MULTA DE CONTROLES VOLUMÉTRICOS</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Primero analiza el oficio sancionador: transcribe el apartado donde la autoridad funda su competencia e identifica si alguno de los preceptos citados le encomienda, de manera específica, vigilar la obligación que se dice incumplida. Si esa norma no aparece, el concepto aplica.</w:t>
      </w:r>
    </w:p>
    <w:p>
      <w:pPr>
        <w:spacing w:line="360" w:lineRule="auto"/>
        <w:jc w:val="both"/>
      </w:pPr>
      <w:r>
        <w:rPr>
          <w:rFonts w:ascii="Arial" w:hAnsi="Arial"/>
          <w:b w:val="0"/>
          <w:i w:val="0"/>
          <w:sz w:val="24"/>
        </w:rPr>
        <w:t>Llena entonces los campos editables, coteja cada dato contra tus documentos y elimina los párrafos que no correspondan a tu caso, por ejemplo la petición de devolución si la multa no se pagó.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[ORDINAL DEL CONCEPTO]</w:t>
      </w:r>
      <w:r>
        <w:rPr>
          <w:rFonts w:ascii="Arial" w:hAnsi="Arial"/>
          <w:b w:val="0"/>
          <w:i w:val="0"/>
          <w:sz w:val="24"/>
        </w:rPr>
        <w:t>: el ordinal que le corresponda en tu demanda (PRIMER, SEGUNDO…).</w:t>
      </w:r>
    </w:p>
    <w:p>
      <w:pPr>
        <w:spacing w:line="360" w:lineRule="auto"/>
        <w:jc w:val="both"/>
      </w:pPr>
      <w:r>
        <w:rPr>
          <w:rFonts w:ascii="Arial" w:hAnsi="Arial"/>
          <w:b/>
          <w:i w:val="0"/>
          <w:sz w:val="24"/>
        </w:rPr>
        <w:t>[NÚMERO DE OFICIO DE LA RESOLUCIÓN IMPUGNADA]</w:t>
      </w:r>
      <w:r>
        <w:rPr>
          <w:rFonts w:ascii="Arial" w:hAnsi="Arial"/>
          <w:b w:val="0"/>
          <w:i w:val="0"/>
          <w:sz w:val="24"/>
        </w:rPr>
        <w:t>: el número exacto del oficio que impuso la multa.</w:t>
      </w:r>
    </w:p>
    <w:p>
      <w:pPr>
        <w:spacing w:line="360" w:lineRule="auto"/>
        <w:jc w:val="both"/>
      </w:pPr>
      <w:r>
        <w:rPr>
          <w:rFonts w:ascii="Arial" w:hAnsi="Arial"/>
          <w:b/>
          <w:i w:val="0"/>
          <w:sz w:val="24"/>
        </w:rPr>
        <w:t>[FECHA DE LA RESOLUCIÓN IMPUGNADA]</w:t>
      </w:r>
      <w:r>
        <w:rPr>
          <w:rFonts w:ascii="Arial" w:hAnsi="Arial"/>
          <w:b w:val="0"/>
          <w:i w:val="0"/>
          <w:sz w:val="24"/>
        </w:rPr>
        <w:t>: la fecha de emisión de ese oficio.</w:t>
      </w:r>
    </w:p>
    <w:p>
      <w:pPr>
        <w:spacing w:line="360" w:lineRule="auto"/>
        <w:jc w:val="both"/>
      </w:pPr>
      <w:r>
        <w:rPr>
          <w:rFonts w:ascii="Arial" w:hAnsi="Arial"/>
          <w:b/>
          <w:i w:val="0"/>
          <w:sz w:val="24"/>
        </w:rPr>
        <w:t>[AUTORIDAD DEMANDADA]</w:t>
      </w:r>
      <w:r>
        <w:rPr>
          <w:rFonts w:ascii="Arial" w:hAnsi="Arial"/>
          <w:b w:val="0"/>
          <w:i w:val="0"/>
          <w:sz w:val="24"/>
        </w:rPr>
        <w:t>: la denominación completa de la unidad administrativa emisora.</w:t>
      </w:r>
    </w:p>
    <w:p>
      <w:pPr>
        <w:spacing w:line="360" w:lineRule="auto"/>
        <w:jc w:val="both"/>
      </w:pPr>
      <w:r>
        <w:rPr>
          <w:rFonts w:ascii="Arial" w:hAnsi="Arial"/>
          <w:b/>
          <w:i w:val="0"/>
          <w:sz w:val="24"/>
        </w:rPr>
        <w:t>[NOMBRE O RAZÓN SOCIAL DE LA PARTE ACTORA]</w:t>
      </w:r>
      <w:r>
        <w:rPr>
          <w:rFonts w:ascii="Arial" w:hAnsi="Arial"/>
          <w:b w:val="0"/>
          <w:i w:val="0"/>
          <w:sz w:val="24"/>
        </w:rPr>
        <w:t>: la persona física o moral sancionada.</w:t>
      </w:r>
    </w:p>
    <w:p>
      <w:pPr>
        <w:spacing w:line="360" w:lineRule="auto"/>
        <w:jc w:val="both"/>
      </w:pPr>
      <w:r>
        <w:rPr>
          <w:rFonts w:ascii="Arial" w:hAnsi="Arial"/>
          <w:b/>
          <w:i w:val="0"/>
          <w:sz w:val="24"/>
        </w:rPr>
        <w:t>[MONTO DE LA MULTA CON NÚMERO Y LETRA]</w:t>
      </w:r>
      <w:r>
        <w:rPr>
          <w:rFonts w:ascii="Arial" w:hAnsi="Arial"/>
          <w:b w:val="0"/>
          <w:i w:val="0"/>
          <w:sz w:val="24"/>
        </w:rPr>
        <w:t>: la cantidad impuesta, con número y letra.</w:t>
      </w:r>
    </w:p>
    <w:p>
      <w:pPr>
        <w:spacing w:line="360" w:lineRule="auto"/>
        <w:jc w:val="both"/>
      </w:pPr>
      <w:r>
        <w:rPr>
          <w:rFonts w:ascii="Arial" w:hAnsi="Arial"/>
          <w:b/>
          <w:i w:val="0"/>
          <w:sz w:val="24"/>
        </w:rPr>
        <w:t>[OBLIGACIÓN QUE LA AUTORIDAD ESTIMÓ INCUMPLIDA]</w:t>
      </w:r>
      <w:r>
        <w:rPr>
          <w:rFonts w:ascii="Arial" w:hAnsi="Arial"/>
          <w:b w:val="0"/>
          <w:i w:val="0"/>
          <w:sz w:val="24"/>
        </w:rPr>
        <w:t>: cópiala del oficio; por ejemplo, enviar el reporte mensual de información de controles volumétricos.</w:t>
      </w:r>
    </w:p>
    <w:p>
      <w:pPr>
        <w:spacing w:line="360" w:lineRule="auto"/>
        <w:jc w:val="both"/>
      </w:pPr>
      <w:r>
        <w:rPr>
          <w:rFonts w:ascii="Arial" w:hAnsi="Arial"/>
          <w:b/>
          <w:i w:val="0"/>
          <w:sz w:val="24"/>
        </w:rPr>
        <w:t>[FOJA DEL EXPEDIENTE DONDE OBRA LA RESOLUCIÓN IMPUGNADA]</w:t>
      </w:r>
      <w:r>
        <w:rPr>
          <w:rFonts w:ascii="Arial" w:hAnsi="Arial"/>
          <w:b w:val="0"/>
          <w:i w:val="0"/>
          <w:sz w:val="24"/>
        </w:rPr>
        <w:t>: el anexo o la foja donde acompañas la resolución a tu demanda.</w:t>
      </w:r>
    </w:p>
    <w:p>
      <w:pPr>
        <w:spacing w:line="360" w:lineRule="auto"/>
        <w:jc w:val="both"/>
      </w:pPr>
      <w:r>
        <w:rPr>
          <w:rFonts w:ascii="Arial" w:hAnsi="Arial"/>
          <w:b/>
          <w:i w:val="0"/>
          <w:sz w:val="24"/>
        </w:rPr>
        <w:t>[FECHA DE NOTIFICACIÓN DE LA RESOLUCIÓN IMPUGNADA]</w:t>
      </w:r>
      <w:r>
        <w:rPr>
          <w:rFonts w:ascii="Arial" w:hAnsi="Arial"/>
          <w:b w:val="0"/>
          <w:i w:val="0"/>
          <w:sz w:val="24"/>
        </w:rPr>
        <w:t>: la fecha exacta de notificación, de la que depende la oportunidad de la demanda.</w:t>
      </w:r>
    </w:p>
    <w:p>
      <w:pPr>
        <w:spacing w:line="360" w:lineRule="auto"/>
        <w:jc w:val="both"/>
      </w:pPr>
      <w:r>
        <w:rPr>
          <w:rFonts w:ascii="Arial" w:hAnsi="Arial"/>
          <w:b/>
          <w:i w:val="0"/>
          <w:sz w:val="24"/>
        </w:rPr>
        <w:t>[PRECEPTOS INVOCADOS POR LA AUTORIDAD PARA FUNDAR SU COMPETENCIA]</w:t>
      </w:r>
      <w:r>
        <w:rPr>
          <w:rFonts w:ascii="Arial" w:hAnsi="Arial"/>
          <w:b w:val="0"/>
          <w:i w:val="0"/>
          <w:sz w:val="24"/>
        </w:rPr>
        <w:t>: transcribe el listado completo del oficio sancionador.</w:t>
      </w:r>
    </w:p>
    <w:p>
      <w:pPr>
        <w:spacing w:line="360" w:lineRule="auto"/>
        <w:jc w:val="both"/>
      </w:pPr>
      <w:r>
        <w:rPr>
          <w:rFonts w:ascii="Arial" w:hAnsi="Arial"/>
          <w:b/>
          <w:i w:val="0"/>
          <w:sz w:val="24"/>
        </w:rPr>
        <w:t>[PERIODO O EJERCICIO DE LA OBLIGACIÓN OMITIDA]</w:t>
      </w:r>
      <w:r>
        <w:rPr>
          <w:rFonts w:ascii="Arial" w:hAnsi="Arial"/>
          <w:b w:val="0"/>
          <w:i w:val="0"/>
          <w:sz w:val="24"/>
        </w:rPr>
        <w:t>: el mes y año del reporte supuestamente omitido.</w:t>
      </w:r>
    </w:p>
    <w:p>
      <w:pPr>
        <w:spacing w:line="360" w:lineRule="auto"/>
        <w:jc w:val="both"/>
      </w:pPr>
      <w:r>
        <w:rPr>
          <w:rFonts w:ascii="Arial" w:hAnsi="Arial"/>
          <w:b/>
          <w:i w:val="0"/>
          <w:sz w:val="24"/>
        </w:rPr>
        <w:t>[SALA REGIONAL COMPETENTE]</w:t>
      </w:r>
      <w:r>
        <w:rPr>
          <w:rFonts w:ascii="Arial" w:hAnsi="Arial"/>
          <w:b w:val="0"/>
          <w:i w:val="0"/>
          <w:sz w:val="24"/>
        </w:rPr>
        <w:t>: la Sala del Tribunal Federal de Justicia Administrativa a la que diriges la demanda.</w:t>
      </w:r>
    </w:p>
    <w:p>
      <w:pPr>
        <w:spacing w:line="360" w:lineRule="auto"/>
        <w:jc w:val="both"/>
      </w:pPr>
      <w:r>
        <w:rPr>
          <w:rFonts w:ascii="Arial" w:hAnsi="Arial"/>
          <w:b/>
          <w:i w:val="0"/>
          <w:sz w:val="24"/>
        </w:rPr>
        <w:t>[FOJA DONDE OBRA EL COMPROBANTE DE PAGO DE LA MULTA]</w:t>
      </w:r>
      <w:r>
        <w:rPr>
          <w:rFonts w:ascii="Arial" w:hAnsi="Arial"/>
          <w:b w:val="0"/>
          <w:i w:val="0"/>
          <w:sz w:val="24"/>
        </w:rPr>
        <w:t>: el anexo con el comprobante de pago; si no pagaste, elimina ese párrafo y la petición de devolución.</w:t>
      </w:r>
    </w:p>
    <w:p/>
    <w:p>
      <w:pPr>
        <w:spacing w:line="360" w:lineRule="auto"/>
        <w:jc w:val="both"/>
      </w:pPr>
      <w:r>
        <w:rPr>
          <w:rFonts w:ascii="Arial" w:hAnsi="Arial"/>
          <w:b/>
          <w:sz w:val="28"/>
        </w:rPr>
        <w:t>[ORDINAL DEL CONCEPTO] CONCEPTO DE IMPUGNACIÓN. Ilegalidad de la resolución impugnada por indebida fundamentación de la competencia material de la autoridad demandada, que invocó únicamente la facultad sancionadora genérica del artículo 11, fracción XXIII, del Reglamento Interior del Servicio de Administración Tributaria, sin citar el precepto que específicamente la facultara para vigilar la obligación cuyo incumplimiento sancionó, lo que actualiza la causal prevista en el artículo 51, fracción I, de la Ley Federal de Procedimiento Contencioso Administrativo.</w:t>
      </w:r>
    </w:p>
    <w:p>
      <w:pPr>
        <w:spacing w:line="360" w:lineRule="auto"/>
        <w:jc w:val="both"/>
      </w:pPr>
      <w:r>
        <w:rPr>
          <w:rFonts w:ascii="Arial" w:hAnsi="Arial"/>
          <w:b/>
          <w:i w:val="0"/>
          <w:sz w:val="28"/>
        </w:rPr>
        <w:t>I. Síntesis.</w:t>
      </w:r>
      <w:r>
        <w:rPr>
          <w:rFonts w:ascii="Arial" w:hAnsi="Arial"/>
          <w:b w:val="0"/>
          <w:i w:val="0"/>
          <w:sz w:val="28"/>
        </w:rPr>
        <w:t xml:space="preserve"> En este concepto de impugnación se demostrará que la resolución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LA RESOLUCIÓN IMPUGNADA]</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xml:space="preserve"> impuso a </w:t>
      </w:r>
      <w:r>
        <w:rPr>
          <w:rFonts w:ascii="Arial" w:hAnsi="Arial"/>
          <w:b/>
          <w:i w:val="0"/>
          <w:sz w:val="28"/>
        </w:rPr>
        <w:t>[NOMBRE O RAZÓN SOCIAL DE LA PARTE ACTORA]</w:t>
      </w:r>
      <w:r>
        <w:rPr>
          <w:rFonts w:ascii="Arial" w:hAnsi="Arial"/>
          <w:b w:val="0"/>
          <w:i w:val="0"/>
          <w:sz w:val="28"/>
        </w:rPr>
        <w:t xml:space="preserve"> una multa en cantidad de </w:t>
      </w:r>
      <w:r>
        <w:rPr>
          <w:rFonts w:ascii="Arial" w:hAnsi="Arial"/>
          <w:b/>
          <w:i w:val="0"/>
          <w:sz w:val="28"/>
        </w:rPr>
        <w:t>[MONTO DE LA MULTA CON NÚMERO Y LETRA]</w:t>
      </w:r>
      <w:r>
        <w:rPr>
          <w:rFonts w:ascii="Arial" w:hAnsi="Arial"/>
          <w:b w:val="0"/>
          <w:i w:val="0"/>
          <w:sz w:val="28"/>
        </w:rPr>
        <w:t xml:space="preserve">, es ilegal, porque la autoridad omitió citar el precepto que de manera específica le confiriera competencia para vigilar el cumplimiento de la obligación consistente en </w:t>
      </w:r>
      <w:r>
        <w:rPr>
          <w:rFonts w:ascii="Arial" w:hAnsi="Arial"/>
          <w:b/>
          <w:i w:val="0"/>
          <w:sz w:val="28"/>
        </w:rPr>
        <w:t>[OBLIGACIÓN QUE LA AUTORIDAD ESTIMÓ INCUMPLIDA]</w:t>
      </w:r>
      <w:r>
        <w:rPr>
          <w:rFonts w:ascii="Arial" w:hAnsi="Arial"/>
          <w:b w:val="0"/>
          <w:i w:val="0"/>
          <w:sz w:val="28"/>
        </w:rPr>
        <w:t>.</w:t>
      </w:r>
    </w:p>
    <w:p>
      <w:pPr>
        <w:spacing w:line="360" w:lineRule="auto"/>
        <w:jc w:val="both"/>
      </w:pPr>
      <w:r>
        <w:rPr>
          <w:rFonts w:ascii="Arial" w:hAnsi="Arial"/>
          <w:b w:val="0"/>
          <w:i w:val="0"/>
          <w:sz w:val="28"/>
        </w:rPr>
        <w:t>El silogismo que sostiene este apartado es sencillo. Conforme a los artículos 16, párrafo primero, de la Constitución Política de los Estados Unidos Mexicanos y 38, fracción IV, del Código Fiscal de la Federación, todo acto de molestia debe fundar la competencia de quien lo emite con exactitud y precisión; en la especie, la autoridad demandada se limitó a invocar una atribución sancionadora genérica y condicionada, sin citar la norma que la facultara para vigilar la obligación concreta; luego su competencia material no quedó debidamente fundada y procede declarar la nulidad lisa y llana de la resolución impugnada.</w:t>
      </w:r>
    </w:p>
    <w:p>
      <w:pPr>
        <w:spacing w:line="360" w:lineRule="auto"/>
        <w:jc w:val="both"/>
      </w:pPr>
      <w:r>
        <w:rPr>
          <w:rFonts w:ascii="Arial" w:hAnsi="Arial"/>
          <w:b/>
          <w:i w:val="0"/>
          <w:sz w:val="28"/>
        </w:rPr>
        <w:t>II. Planteamiento.</w:t>
      </w:r>
      <w:r>
        <w:rPr>
          <w:rFonts w:ascii="Arial" w:hAnsi="Arial"/>
          <w:b w:val="0"/>
          <w:i w:val="0"/>
          <w:sz w:val="28"/>
        </w:rPr>
        <w:t xml:space="preserve"> La resolución impugnada, visible a foja </w:t>
      </w:r>
      <w:r>
        <w:rPr>
          <w:rFonts w:ascii="Arial" w:hAnsi="Arial"/>
          <w:b/>
          <w:i w:val="0"/>
          <w:sz w:val="28"/>
        </w:rPr>
        <w:t>[FOJA DEL EXPEDIENTE DONDE OBRA LA RESOLUCIÓN IMPUGNADA]</w:t>
      </w:r>
      <w:r>
        <w:rPr>
          <w:rFonts w:ascii="Arial" w:hAnsi="Arial"/>
          <w:b w:val="0"/>
          <w:i w:val="0"/>
          <w:sz w:val="28"/>
        </w:rPr>
        <w:t xml:space="preserve"> de autos, fue notificada a la parte actora el </w:t>
      </w:r>
      <w:r>
        <w:rPr>
          <w:rFonts w:ascii="Arial" w:hAnsi="Arial"/>
          <w:b/>
          <w:i w:val="0"/>
          <w:sz w:val="28"/>
        </w:rPr>
        <w:t>[FECHA DE NOTIFICACIÓN DE LA RESOLUCIÓN IMPUGNADA]</w:t>
      </w:r>
      <w:r>
        <w:rPr>
          <w:rFonts w:ascii="Arial" w:hAnsi="Arial"/>
          <w:b w:val="0"/>
          <w:i w:val="0"/>
          <w:sz w:val="28"/>
        </w:rPr>
        <w:t xml:space="preserve">. En ella, la autoridad pretendió fundar su competencia en un extenso listado de preceptos, a saber, </w:t>
      </w:r>
      <w:r>
        <w:rPr>
          <w:rFonts w:ascii="Arial" w:hAnsi="Arial"/>
          <w:b/>
          <w:i w:val="0"/>
          <w:sz w:val="28"/>
        </w:rPr>
        <w:t>[PRECEPTOS INVOCADOS POR LA AUTORIDAD PARA FUNDAR SU COMPETENCIA]</w:t>
      </w:r>
      <w:r>
        <w:rPr>
          <w:rFonts w:ascii="Arial" w:hAnsi="Arial"/>
          <w:b w:val="0"/>
          <w:i w:val="0"/>
          <w:sz w:val="28"/>
        </w:rPr>
        <w:t>, del que destaca, como único apoyo de su facultad para sancionar, el artículo 11, fracción XXIII, del Reglamento Interior del Servicio de Administración Tributaria, en relación con el diverso 14, fracción I, del mismo ordenamiento.</w:t>
      </w:r>
    </w:p>
    <w:p>
      <w:pPr>
        <w:spacing w:line="360" w:lineRule="auto"/>
        <w:jc w:val="both"/>
      </w:pPr>
      <w:r>
        <w:rPr>
          <w:rFonts w:ascii="Arial" w:hAnsi="Arial"/>
          <w:b w:val="0"/>
          <w:i w:val="0"/>
          <w:sz w:val="28"/>
        </w:rPr>
        <w:t xml:space="preserve">La fracción invocada dispone que los administradores generales podrán </w:t>
      </w:r>
      <w:r>
        <w:rPr>
          <w:rFonts w:ascii="Arial" w:hAnsi="Arial"/>
          <w:b w:val="0"/>
          <w:i/>
          <w:sz w:val="28"/>
        </w:rPr>
        <w:t>«imponer sanciones por infracción a las disposiciones jurídicas que rigen la materia de su competencia»</w:t>
      </w:r>
      <w:r>
        <w:rPr>
          <w:rFonts w:ascii="Arial" w:hAnsi="Arial"/>
          <w:b w:val="0"/>
          <w:i w:val="0"/>
          <w:sz w:val="28"/>
        </w:rPr>
        <w:t>, atribución que el artículo 14, fracción I, del propio reglamento hace extensiva a los administradores desconcentrados y a los administradores adscritos a esas unidades. Como se advierte de su sola lectura, el precepto no confiere una facultad sancionadora específica: la condiciona a que la infracción recaiga sobre disposiciones que pertenezcan a la materia que la unidad administrativa sancionadora tiene encomendado vigilar.</w:t>
      </w:r>
    </w:p>
    <w:p>
      <w:pPr>
        <w:spacing w:line="360" w:lineRule="auto"/>
        <w:jc w:val="both"/>
      </w:pPr>
      <w:r>
        <w:rPr>
          <w:rFonts w:ascii="Arial" w:hAnsi="Arial"/>
          <w:b w:val="0"/>
          <w:i w:val="0"/>
          <w:sz w:val="28"/>
        </w:rPr>
        <w:t xml:space="preserve">Los restantes preceptos citados en el oficio son normas orgánicas que únicamente acreditan la existencia de la unidad administrativa emisora, su sede y su adscripción, así como los numerales del Código Fiscal de la Federación que tipifican la infracción y fijan la sanción; ninguno de ellos expresa que la vigilancia de la obligación consistente en </w:t>
      </w:r>
      <w:r>
        <w:rPr>
          <w:rFonts w:ascii="Arial" w:hAnsi="Arial"/>
          <w:b/>
          <w:i w:val="0"/>
          <w:sz w:val="28"/>
        </w:rPr>
        <w:t>[OBLIGACIÓN QUE LA AUTORIDAD ESTIMÓ INCUMPLIDA]</w:t>
      </w:r>
      <w:r>
        <w:rPr>
          <w:rFonts w:ascii="Arial" w:hAnsi="Arial"/>
          <w:b w:val="0"/>
          <w:i w:val="0"/>
          <w:sz w:val="28"/>
        </w:rPr>
        <w:t xml:space="preserve">, por el periodo de </w:t>
      </w:r>
      <w:r>
        <w:rPr>
          <w:rFonts w:ascii="Arial" w:hAnsi="Arial"/>
          <w:b/>
          <w:i w:val="0"/>
          <w:sz w:val="28"/>
        </w:rPr>
        <w:t>[PERIODO O EJERCICIO DE LA OBLIGACIÓN OMITIDA]</w:t>
      </w:r>
      <w:r>
        <w:rPr>
          <w:rFonts w:ascii="Arial" w:hAnsi="Arial"/>
          <w:b w:val="0"/>
          <w:i w:val="0"/>
          <w:sz w:val="28"/>
        </w:rPr>
        <w:t>, sea materia de la competencia de la autoridad que sancionó.</w:t>
      </w:r>
    </w:p>
    <w:p>
      <w:pPr>
        <w:spacing w:line="360" w:lineRule="auto"/>
        <w:jc w:val="both"/>
      </w:pPr>
      <w:r>
        <w:rPr>
          <w:rFonts w:ascii="Arial" w:hAnsi="Arial"/>
          <w:b w:val="0"/>
          <w:i w:val="0"/>
          <w:sz w:val="28"/>
        </w:rPr>
        <w:t>El perjuicio es directo e inmediato. Al ignorarse cuál norma hace de la obligación fiscalizada una materia propia de la autoridad emisora, la parte actora queda en estado de indefensión, pues no está en aptitud de examinar si la actuación de la unidad administrativa se encuentra dentro de su ámbito competencial por materia, ni de combatirla con plenitud de conocimiento, y además resiente en su patrimonio una multa impuesta por quien no justificó poder imponerla.</w:t>
      </w:r>
    </w:p>
    <w:p>
      <w:pPr>
        <w:spacing w:line="360" w:lineRule="auto"/>
        <w:jc w:val="both"/>
      </w:pPr>
      <w:r>
        <w:rPr>
          <w:rFonts w:ascii="Arial" w:hAnsi="Arial"/>
          <w:b/>
          <w:i w:val="0"/>
          <w:sz w:val="28"/>
        </w:rPr>
        <w:t>III. Desarrollo doctrinal. Premisa mayor.</w:t>
      </w:r>
      <w:r>
        <w:rPr>
          <w:rFonts w:ascii="Arial" w:hAnsi="Arial"/>
          <w:b w:val="0"/>
          <w:i w:val="0"/>
          <w:sz w:val="28"/>
        </w:rPr>
        <w:t xml:space="preserve"> El artículo 16, párrafo primero, constitucional dispone: </w:t>
      </w:r>
      <w:r>
        <w:rPr>
          <w:rFonts w:ascii="Arial" w:hAnsi="Arial"/>
          <w:b w:val="0"/>
          <w:i/>
          <w:sz w:val="28"/>
        </w:rPr>
        <w:t>«Nadie puede ser molestado en su persona, familia, domicilio, papeles o posesiones, sino en virtud de mandamiento escrito de la autoridad competente, que funde y motive la causa legal del procedimiento»</w:t>
      </w:r>
      <w:r>
        <w:rPr>
          <w:rFonts w:ascii="Arial" w:hAnsi="Arial"/>
          <w:b w:val="0"/>
          <w:i w:val="0"/>
          <w:sz w:val="28"/>
        </w:rPr>
        <w:t>. La competencia es, así, el primer presupuesto de validez de todo acto de molestia: antes de examinar la corrección de lo decidido, la persona gobernada tiene derecho a saber quién decide y con qué apoyo normativo lo hace.</w:t>
      </w:r>
    </w:p>
    <w:p>
      <w:pPr>
        <w:spacing w:line="360" w:lineRule="auto"/>
        <w:jc w:val="both"/>
      </w:pPr>
      <w:r>
        <w:rPr>
          <w:rFonts w:ascii="Arial" w:hAnsi="Arial"/>
          <w:b w:val="0"/>
          <w:i w:val="0"/>
          <w:sz w:val="28"/>
        </w:rPr>
        <w:t xml:space="preserve">En la materia fiscal esa exigencia se reitera en el artículo 38, fracción IV, del Código Fiscal de la Federación, conforme al cual los actos administrativos que deban notificarse tienen, entre otros requisitos, el de </w:t>
      </w:r>
      <w:r>
        <w:rPr>
          <w:rFonts w:ascii="Arial" w:hAnsi="Arial"/>
          <w:b w:val="0"/>
          <w:i/>
          <w:sz w:val="28"/>
        </w:rPr>
        <w:t>«estar fundado, motivado y expresar la resolución, objeto o propósito de que se trate»</w:t>
      </w:r>
      <w:r>
        <w:rPr>
          <w:rFonts w:ascii="Arial" w:hAnsi="Arial"/>
          <w:b w:val="0"/>
          <w:i w:val="0"/>
          <w:sz w:val="28"/>
        </w:rPr>
        <w:t>. La fundamentación debida comprende, entonces, dos planos inseparables: los preceptos que encuadran la conducta de la persona particular y los preceptos que otorgan a la autoridad la atribución que ejerce en su agravio.</w:t>
      </w:r>
    </w:p>
    <w:p>
      <w:pPr>
        <w:spacing w:line="360" w:lineRule="auto"/>
        <w:jc w:val="both"/>
      </w:pPr>
      <w:r>
        <w:rPr>
          <w:rFonts w:ascii="Arial" w:hAnsi="Arial"/>
          <w:b w:val="0"/>
          <w:i w:val="0"/>
          <w:sz w:val="28"/>
        </w:rPr>
        <w:t>La doctrina especializada recoge, en lo que toca a la competencia, el criterio conforme al cual la garantía de fundamentación lleva implícita la exigencia de exactitud y precisión en la cita de las normas legales que facultan a la autoridad administrativa para emitir el acto de molestia, pues el valor jurídicamente protegido es la posibilidad de otorgar certeza y seguridad jurídica al particular frente a los actos del poder público.</w:t>
      </w:r>
      <w:r>
        <w:rPr>
          <w:rFonts w:ascii="Arial" w:hAnsi="Arial"/>
          <w:vertAlign w:val="superscript"/>
        </w:rPr>
        <w:t>1</w:t>
      </w:r>
      <w:r>
        <w:rPr>
          <w:rFonts w:ascii="Arial" w:hAnsi="Arial"/>
          <w:b w:val="0"/>
          <w:i w:val="0"/>
          <w:sz w:val="28"/>
        </w:rPr>
        <w:t xml:space="preserve"> La precisión no es un formalismo: es la condición para que la persona afectada pueda controlar al poder.</w:t>
      </w:r>
    </w:p>
    <w:p>
      <w:pPr>
        <w:spacing w:line="360" w:lineRule="auto"/>
        <w:jc w:val="both"/>
      </w:pPr>
      <w:r>
        <w:rPr>
          <w:rFonts w:ascii="Arial" w:hAnsi="Arial"/>
          <w:b w:val="0"/>
          <w:i w:val="0"/>
          <w:sz w:val="28"/>
        </w:rPr>
        <w:t xml:space="preserve">En su dimensión formal, fundar y motivar significa que en la constancia documental de la decisión se expresen claramente las normas jurídicas, las razones, los motivos y las demás justificaciones que la ocasionan, esto es, que se manifieste a la persona a quien perjudica la </w:t>
      </w:r>
      <w:r>
        <w:rPr>
          <w:rFonts w:ascii="Arial" w:hAnsi="Arial"/>
          <w:b w:val="0"/>
          <w:i/>
          <w:sz w:val="28"/>
        </w:rPr>
        <w:t>«causa legal»</w:t>
      </w:r>
      <w:r>
        <w:rPr>
          <w:rFonts w:ascii="Arial" w:hAnsi="Arial"/>
          <w:b w:val="0"/>
          <w:i w:val="0"/>
          <w:sz w:val="28"/>
        </w:rPr>
        <w:t xml:space="preserve"> de la determinación.</w:t>
      </w:r>
      <w:r>
        <w:rPr>
          <w:rFonts w:ascii="Arial" w:hAnsi="Arial"/>
          <w:vertAlign w:val="superscript"/>
        </w:rPr>
        <w:t>2</w:t>
      </w:r>
      <w:r>
        <w:rPr>
          <w:rFonts w:ascii="Arial" w:hAnsi="Arial"/>
          <w:b w:val="0"/>
          <w:i w:val="0"/>
          <w:sz w:val="28"/>
        </w:rPr>
        <w:t xml:space="preserve"> Lo que no consta en el documento notificado simplemente no forma parte de la fundamentación del acto, por más que exista en el orden jurídico.</w:t>
      </w:r>
    </w:p>
    <w:p>
      <w:pPr>
        <w:spacing w:line="360" w:lineRule="auto"/>
        <w:jc w:val="both"/>
      </w:pPr>
      <w:r>
        <w:rPr>
          <w:rFonts w:ascii="Arial" w:hAnsi="Arial"/>
          <w:b w:val="0"/>
          <w:i w:val="0"/>
          <w:sz w:val="28"/>
        </w:rPr>
        <w:t>Ese deber es corolario del principio de legalidad, conforme al cual los poderes públicos solamente pueden hacer aquello que la ley les faculta, pauta que busca evitar actos de autoridad arbitrarios al sujetarlos a un sistema de frenos y contrapesos.</w:t>
      </w:r>
      <w:r>
        <w:rPr>
          <w:rFonts w:ascii="Arial" w:hAnsi="Arial"/>
          <w:vertAlign w:val="superscript"/>
        </w:rPr>
        <w:t>3</w:t>
      </w:r>
      <w:r>
        <w:rPr>
          <w:rFonts w:ascii="Arial" w:hAnsi="Arial"/>
          <w:b w:val="0"/>
          <w:i w:val="0"/>
          <w:sz w:val="28"/>
        </w:rPr>
        <w:t xml:space="preserve"> Si la autoridad sólo puede lo que la norma le permite, el acto debe exhibir esa norma; una competencia que se afirma pero no se muestra equivale, para la persona destinataria, a una competencia inexistente.</w:t>
      </w:r>
    </w:p>
    <w:p>
      <w:pPr>
        <w:spacing w:line="360" w:lineRule="auto"/>
        <w:jc w:val="both"/>
      </w:pPr>
      <w:r>
        <w:rPr>
          <w:rFonts w:ascii="Arial" w:hAnsi="Arial"/>
          <w:b w:val="0"/>
          <w:i w:val="0"/>
          <w:sz w:val="28"/>
        </w:rPr>
        <w:t xml:space="preserve">De lo anterior se sigue una regla operativa para el caso de las facultades condicionadas. Cuando el precepto invocado confiere una atribución cuyo ejercicio depende de que la infracción verse sobre </w:t>
      </w:r>
      <w:r>
        <w:rPr>
          <w:rFonts w:ascii="Arial" w:hAnsi="Arial"/>
          <w:b w:val="0"/>
          <w:i/>
          <w:sz w:val="28"/>
        </w:rPr>
        <w:t>«la materia de su competencia»</w:t>
      </w:r>
      <w:r>
        <w:rPr>
          <w:rFonts w:ascii="Arial" w:hAnsi="Arial"/>
          <w:b w:val="0"/>
          <w:i w:val="0"/>
          <w:sz w:val="28"/>
        </w:rPr>
        <w:t>, su sola cita es insuficiente, porque el propio precepto remite a otra norma, que es precisamente la que delimita esa materia. La fundamentación exige cerrar la cadena normativa: citar tanto la facultad de sancionar como el precepto que encomienda a la unidad administrativa la vigilancia de la obligación concreta cuyo incumplimiento se reprocha.</w:t>
      </w:r>
    </w:p>
    <w:p>
      <w:pPr>
        <w:spacing w:line="360" w:lineRule="auto"/>
        <w:jc w:val="both"/>
      </w:pPr>
      <w:r>
        <w:rPr>
          <w:rFonts w:ascii="Arial" w:hAnsi="Arial"/>
          <w:b w:val="0"/>
          <w:i w:val="0"/>
          <w:sz w:val="28"/>
        </w:rPr>
        <w:t>Dicho de otro modo, una cosa es que la autoridad exista y tenga, en abstracto, potestad de sancionar, y otra muy distinta que sea competente para sancionar esta infracción en particular. El eslabón que une ambos extremos es la norma que atribuye a la autoridad la materia específica; si ese eslabón no se cita en el texto del acto, la cadena queda abierta y la competencia, sin fundar. La abundancia de preceptos no remedia la omisión: no es lo mismo citar mucho que fundar bien, y un listado prolijo puede ocultar, como aquí ocurre, la ausencia de la única norma que importaba.</w:t>
      </w:r>
    </w:p>
    <w:p>
      <w:pPr>
        <w:spacing w:line="360" w:lineRule="auto"/>
        <w:jc w:val="both"/>
      </w:pPr>
      <w:r>
        <w:rPr>
          <w:rFonts w:ascii="Arial" w:hAnsi="Arial"/>
          <w:b/>
          <w:i w:val="0"/>
          <w:sz w:val="28"/>
        </w:rPr>
        <w:t>IV. Aplicación al caso concreto y refutación. Premisa menor.</w:t>
      </w:r>
      <w:r>
        <w:rPr>
          <w:rFonts w:ascii="Arial" w:hAnsi="Arial"/>
          <w:b w:val="0"/>
          <w:i w:val="0"/>
          <w:sz w:val="28"/>
        </w:rPr>
        <w:t xml:space="preserve"> En la resolución impugnada, la </w:t>
      </w:r>
      <w:r>
        <w:rPr>
          <w:rFonts w:ascii="Arial" w:hAnsi="Arial"/>
          <w:b/>
          <w:i w:val="0"/>
          <w:sz w:val="28"/>
        </w:rPr>
        <w:t>[AUTORIDAD DEMANDADA]</w:t>
      </w:r>
      <w:r>
        <w:rPr>
          <w:rFonts w:ascii="Arial" w:hAnsi="Arial"/>
          <w:b w:val="0"/>
          <w:i w:val="0"/>
          <w:sz w:val="28"/>
        </w:rPr>
        <w:t xml:space="preserve"> fue omisa en señalar precepto alguno del que se desprenda su facultad para vigilar, aplicar o hacer cumplir la obligación consistente en </w:t>
      </w:r>
      <w:r>
        <w:rPr>
          <w:rFonts w:ascii="Arial" w:hAnsi="Arial"/>
          <w:b/>
          <w:i w:val="0"/>
          <w:sz w:val="28"/>
        </w:rPr>
        <w:t>[OBLIGACIÓN QUE LA AUTORIDAD ESTIMÓ INCUMPLIDA]</w:t>
      </w:r>
      <w:r>
        <w:rPr>
          <w:rFonts w:ascii="Arial" w:hAnsi="Arial"/>
          <w:b w:val="0"/>
          <w:i w:val="0"/>
          <w:sz w:val="28"/>
        </w:rPr>
        <w:t>. Su fundamento competencial se agota en la atribución sancionadora genérica ya descrita y en normas de organización interna que nada dicen sobre la materia respecto de la cual puede actuar frente a las personas contribuyentes.</w:t>
      </w:r>
    </w:p>
    <w:p>
      <w:pPr>
        <w:spacing w:line="360" w:lineRule="auto"/>
        <w:jc w:val="both"/>
      </w:pPr>
      <w:r>
        <w:rPr>
          <w:rFonts w:ascii="Arial" w:hAnsi="Arial"/>
          <w:b w:val="0"/>
          <w:i w:val="0"/>
          <w:sz w:val="28"/>
        </w:rPr>
        <w:t xml:space="preserve">El razonamiento implícito de la autoridad puede reconstruirse así: </w:t>
      </w:r>
      <w:r>
        <w:rPr>
          <w:rFonts w:ascii="Arial" w:hAnsi="Arial"/>
          <w:b w:val="0"/>
          <w:i/>
          <w:sz w:val="28"/>
        </w:rPr>
        <w:t>«puedo sancionar las infracciones a las disposiciones que rigen la materia de mi competencia; sancioné esta infracción; por lo tanto, esta infracción versa sobre la materia de mi competencia»</w:t>
      </w:r>
      <w:r>
        <w:rPr>
          <w:rFonts w:ascii="Arial" w:hAnsi="Arial"/>
          <w:b w:val="0"/>
          <w:i w:val="0"/>
          <w:sz w:val="28"/>
        </w:rPr>
        <w:t>. La conclusión está contenida de antemano en la premisa: la autoridad da por demostrada, por el solo hecho de actuar, la competencia material que precisamente debía acreditar en el texto del acto.</w:t>
      </w:r>
    </w:p>
    <w:p>
      <w:pPr>
        <w:spacing w:line="360" w:lineRule="auto"/>
        <w:jc w:val="both"/>
      </w:pPr>
      <w:r>
        <w:rPr>
          <w:rFonts w:ascii="Arial" w:hAnsi="Arial"/>
          <w:b w:val="0"/>
          <w:i w:val="0"/>
          <w:sz w:val="28"/>
        </w:rPr>
        <w:t>Ese vicio tiene nombre propio en la teoría de la argumentación: es la falacia de petición de principio o petitio principii, que consiste en postular como punto de partida lo que debía demostrarse, es decir, en dar por probado por sí mismo lo que no está claro ni es conocido por sí mismo, lo que equivale a no demostrar.</w:t>
      </w:r>
      <w:r>
        <w:rPr>
          <w:rFonts w:ascii="Arial" w:hAnsi="Arial"/>
          <w:vertAlign w:val="superscript"/>
        </w:rPr>
        <w:t>4</w:t>
      </w:r>
      <w:r>
        <w:rPr>
          <w:rFonts w:ascii="Arial" w:hAnsi="Arial"/>
          <w:b w:val="0"/>
          <w:i w:val="0"/>
          <w:sz w:val="28"/>
        </w:rPr>
        <w:t xml:space="preserve"> Aplicada al acto administrativo, la circularidad vacía de contenido la garantía de fundamentación: la competencia se </w:t>
      </w:r>
      <w:r>
        <w:rPr>
          <w:rFonts w:ascii="Arial" w:hAnsi="Arial"/>
          <w:b w:val="0"/>
          <w:i/>
          <w:sz w:val="28"/>
        </w:rPr>
        <w:t>«funda»</w:t>
      </w:r>
      <w:r>
        <w:rPr>
          <w:rFonts w:ascii="Arial" w:hAnsi="Arial"/>
          <w:b w:val="0"/>
          <w:i w:val="0"/>
          <w:sz w:val="28"/>
        </w:rPr>
        <w:t xml:space="preserve"> en la afirmación de la propia competencia.</w:t>
      </w:r>
    </w:p>
    <w:p>
      <w:pPr>
        <w:spacing w:line="360" w:lineRule="auto"/>
        <w:jc w:val="both"/>
      </w:pPr>
      <w:r>
        <w:rPr>
          <w:rFonts w:ascii="Arial" w:hAnsi="Arial"/>
          <w:b w:val="0"/>
          <w:i w:val="0"/>
          <w:sz w:val="28"/>
        </w:rPr>
        <w:t>La misma doctrina explica por qué el argumento circular carece de todo valor demostrativo: lo que sirve de prueba en un argumento debe ser más claro y conocido que lo que se quiere probar, pues la conclusión necesita apoyarse en algo que no se cuestione.</w:t>
      </w:r>
      <w:r>
        <w:rPr>
          <w:rFonts w:ascii="Arial" w:hAnsi="Arial"/>
          <w:vertAlign w:val="superscript"/>
        </w:rPr>
        <w:t>5</w:t>
      </w:r>
      <w:r>
        <w:rPr>
          <w:rFonts w:ascii="Arial" w:hAnsi="Arial"/>
          <w:b w:val="0"/>
          <w:i w:val="0"/>
          <w:sz w:val="28"/>
        </w:rPr>
        <w:t xml:space="preserve"> En la especie sucede exactamente lo contrario: el punto controvertido, esto es, si la obligación vigilada es materia de la autoridad sancionadora, se resuelve presuponiéndolo, de modo que la duda original queda intacta.</w:t>
      </w:r>
    </w:p>
    <w:p>
      <w:pPr>
        <w:spacing w:line="360" w:lineRule="auto"/>
        <w:jc w:val="both"/>
      </w:pPr>
      <w:r>
        <w:rPr>
          <w:rFonts w:ascii="Arial" w:hAnsi="Arial"/>
          <w:b w:val="0"/>
          <w:i w:val="0"/>
          <w:sz w:val="28"/>
        </w:rPr>
        <w:t>Aun mirado con benevolencia, el razonamiento de la demandada incurre además en un non sequitur, denominación genérica de los argumentos en los que la conclusión no se sigue de las premisas.</w:t>
      </w:r>
      <w:r>
        <w:rPr>
          <w:rFonts w:ascii="Arial" w:hAnsi="Arial"/>
          <w:vertAlign w:val="superscript"/>
        </w:rPr>
        <w:t>6</w:t>
      </w:r>
      <w:r>
        <w:rPr>
          <w:rFonts w:ascii="Arial" w:hAnsi="Arial"/>
          <w:b w:val="0"/>
          <w:i w:val="0"/>
          <w:sz w:val="28"/>
        </w:rPr>
        <w:t xml:space="preserve"> De la existencia de una potestad sancionadora abstracta no se sigue la competencia para sancionar el incumplimiento de una obligación determinada; falta la premisa normativa que conecte ambas cosas, y esa premisa no puede suplirse con la voluntad de la autoridad ni con la carga de que la persona afectada la adivine.</w:t>
      </w:r>
    </w:p>
    <w:p>
      <w:pPr>
        <w:spacing w:line="360" w:lineRule="auto"/>
        <w:jc w:val="both"/>
      </w:pPr>
      <w:r>
        <w:rPr>
          <w:rFonts w:ascii="Arial" w:hAnsi="Arial"/>
          <w:b w:val="0"/>
          <w:i w:val="0"/>
          <w:sz w:val="28"/>
        </w:rPr>
        <w:t>No es obstáculo que la autoridad, al contestar la demanda, pretenda explicar de qué conjunto de preceptos deriva su competencia material. El examen de legalidad recae sobre el texto de la resolución impugnada tal como fue notificada, porque la fundamentación es un requisito del acto mismo y no un dato que pueda integrarse con posterioridad; admitir lo contrario trasladaría a la persona gobernada la carga de averiguar, dentro del cúmulo de normas citadas, cuál es la específicamente aplicable a la actuación del órgano, dejándola en estado de indefensión.</w:t>
      </w:r>
    </w:p>
    <w:p>
      <w:pPr>
        <w:spacing w:line="360" w:lineRule="auto"/>
        <w:jc w:val="both"/>
      </w:pPr>
      <w:r>
        <w:rPr>
          <w:rFonts w:ascii="Arial" w:hAnsi="Arial"/>
          <w:b w:val="0"/>
          <w:i w:val="0"/>
          <w:sz w:val="28"/>
        </w:rPr>
        <w:t>La consecuencia de este vicio no es una nulidad para efectos. Cuando la competencia de la autoridad no se encuentra debidamente fundada, el órgano jurisdiccional no puede vincularla a emitir un nuevo acto, pues se ignora si legalmente puede emitirlo; como se ha reconocido en casos análogos, la insuficiente fundamentación de la competencia conduce a la nulidad lisa y llana de la resolución, con la única salvedad de las resoluciones que recaen a una petición, instancia o recurso, supuesto ajeno al presente asunto.</w:t>
      </w:r>
    </w:p>
    <w:p>
      <w:pPr>
        <w:spacing w:line="360" w:lineRule="auto"/>
        <w:jc w:val="both"/>
      </w:pPr>
      <w:r>
        <w:rPr>
          <w:rFonts w:ascii="Arial" w:hAnsi="Arial"/>
          <w:b/>
          <w:i w:val="0"/>
          <w:sz w:val="28"/>
        </w:rPr>
        <w:t>V. Conclusión y petición parcial.</w:t>
      </w:r>
      <w:r>
        <w:rPr>
          <w:rFonts w:ascii="Arial" w:hAnsi="Arial"/>
          <w:b w:val="0"/>
          <w:i w:val="0"/>
          <w:sz w:val="28"/>
        </w:rPr>
        <w:t xml:space="preserve"> Por lo expuesto, la resolución impugnada actualiza la causal de ilegalidad prevista en el artículo 51, fracción I, de la Ley Federal de Procedimiento Contencioso Administrativo, pues fue emitida por una autoridad que no justificó, en el propio acto, contar con competencia material para imponer la sanción a la parte actora, en contravención de los artículos 16, párrafo primero, constitucional y 38, fracción IV, del Código Fiscal de la Federación.</w:t>
      </w:r>
    </w:p>
    <w:p>
      <w:pPr>
        <w:spacing w:line="360" w:lineRule="auto"/>
        <w:jc w:val="both"/>
      </w:pPr>
      <w:r>
        <w:rPr>
          <w:rFonts w:ascii="Arial" w:hAnsi="Arial"/>
          <w:b w:val="0"/>
          <w:i w:val="0"/>
          <w:sz w:val="28"/>
        </w:rPr>
        <w:t xml:space="preserve">En consecuencia, se solicita respetuosamente a esa </w:t>
      </w:r>
      <w:r>
        <w:rPr>
          <w:rFonts w:ascii="Arial" w:hAnsi="Arial"/>
          <w:b/>
          <w:i w:val="0"/>
          <w:sz w:val="28"/>
        </w:rPr>
        <w:t>[SALA REGIONAL COMPETENTE]</w:t>
      </w:r>
      <w:r>
        <w:rPr>
          <w:rFonts w:ascii="Arial" w:hAnsi="Arial"/>
          <w:b w:val="0"/>
          <w:i w:val="0"/>
          <w:sz w:val="28"/>
        </w:rPr>
        <w:t xml:space="preserve"> declarar fundado el presente concepto de impugnación y decretar la nulidad lisa y llana de la resolución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LA RESOLUCIÓN IMPUGNADA]</w:t>
      </w:r>
      <w:r>
        <w:rPr>
          <w:rFonts w:ascii="Arial" w:hAnsi="Arial"/>
          <w:b w:val="0"/>
          <w:i w:val="0"/>
          <w:sz w:val="28"/>
        </w:rPr>
        <w:t>, sin sujetar a la autoridad demandada a efecto alguno de reiteración.</w:t>
      </w:r>
    </w:p>
    <w:p>
      <w:pPr>
        <w:spacing w:line="360" w:lineRule="auto"/>
        <w:jc w:val="both"/>
      </w:pPr>
      <w:r>
        <w:rPr>
          <w:rFonts w:ascii="Arial" w:hAnsi="Arial"/>
          <w:b w:val="0"/>
          <w:i w:val="0"/>
          <w:sz w:val="28"/>
        </w:rPr>
        <w:t xml:space="preserve">Asimismo, toda vez que la parte actora enteró el importe de la multa, según consta en el comprobante de pago visible a foja </w:t>
      </w:r>
      <w:r>
        <w:rPr>
          <w:rFonts w:ascii="Arial" w:hAnsi="Arial"/>
          <w:b/>
          <w:i w:val="0"/>
          <w:sz w:val="28"/>
        </w:rPr>
        <w:t>[FOJA DONDE OBRA EL COMPROBANTE DE PAGO DE LA MULTA]</w:t>
      </w:r>
      <w:r>
        <w:rPr>
          <w:rFonts w:ascii="Arial" w:hAnsi="Arial"/>
          <w:b w:val="0"/>
          <w:i w:val="0"/>
          <w:sz w:val="28"/>
        </w:rPr>
        <w:t xml:space="preserve"> de autos, cuya línea de captura coincide con el formato de pago emitido por la propia autoridad y cuyo contenido no ha sido objetado, se solicita reconocer su derecho subjetivo a la devolución de la cantidad pagada y condenar a la demandada a realizar las gestiones necesarias para que la autoridad competente proceda a esa devolución, en términos del artículo 52, fracción V, inciso a), de la Ley Federal de Procedimiento Contencioso Administrativo.</w:t>
      </w:r>
    </w:p>
    <w:p>
      <w:pPr>
        <w:spacing w:line="360" w:lineRule="auto"/>
        <w:jc w:val="both"/>
      </w:pPr>
      <w:r>
        <w:rPr>
          <w:rFonts w:ascii="Arial" w:hAnsi="Arial"/>
          <w:b w:val="0"/>
          <w:i w:val="0"/>
          <w:sz w:val="28"/>
        </w:rPr>
        <w:t>Finalmente, se hace notar que el estudio de este concepto de impugnación es preferente, pues su acogimiento produce el mayor beneficio posible para la parte actora, al eliminar de raíz la resolución sancionadora y abrir paso a la restitución íntegra de lo pagado, con lo cual resultaría innecesario el examen de los restantes argumentos de la demanda.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209.</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68.</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1871.</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76.</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64.</w:t>
      </w:r>
    </w:p>
    <w:p/>
    <w:p>
      <w:r>
        <w:rPr>
          <w:rFonts w:ascii="Arial" w:hAnsi="Arial"/>
          <w:b/>
          <w:sz w:val="22"/>
        </w:rPr>
        <w:t>BIBLIOGRAFÍA</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