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28"/>
        </w:rPr>
        <w:t>MACHOTE. DEMANDA DE NULIDAD TFJA. ACTUALIZACIÓN CON INPC CUYO PROCEDIMIENTO DE CÁLCULO NO SE PUBLICÓ EN PLAZO</w:t>
      </w:r>
    </w:p>
    <w:p>
      <w:pPr>
        <w:jc w:val="center"/>
      </w:pPr>
      <w:r>
        <w:rPr>
          <w:rFonts w:ascii="Arial" w:hAnsi="Arial"/>
          <w:sz w:val="20"/>
        </w:rPr>
        <w:t>Machote gratuito de Academia de Amparo y Derecho — academiadeamparo.com</w:t>
      </w:r>
    </w:p>
    <w:p/>
    <w:p>
      <w:r>
        <w:rPr>
          <w:rFonts w:ascii="Arial" w:hAnsi="Arial"/>
          <w:b/>
          <w:sz w:val="24"/>
        </w:rPr>
        <w:t>CÓMO USAR ESTE MACHOTE</w:t>
      </w:r>
    </w:p>
    <w:p>
      <w:pPr>
        <w:spacing w:line="360" w:lineRule="auto"/>
        <w:jc w:val="both"/>
      </w:pPr>
      <w:r>
        <w:rPr>
          <w:rFonts w:ascii="Arial" w:hAnsi="Arial"/>
          <w:b w:val="0"/>
          <w:i w:val="0"/>
          <w:sz w:val="24"/>
        </w:rPr>
        <w:t xml:space="preserve">Descarga el machote y léelo completo antes de adaptarlo. El primer paso es documental: localiza en la resolución impugnada todos los índices nacionales de precios al consumidor con que la autoridad actualizó el crédito y, por cada uno, consulta la edición del Diario Oficial de la Federación en que se publicó. Anota la fecha de esa edición, el décimo día del mes siguiente al del índice y si el Instituto Nacional de Estadística y Geografía dio a conocer en ese plazo las ciudades, artículos, servicios, conceptos de consumo, ramas y cotizaciones, o si sólo anunció que lo haría </w:t>
      </w:r>
      <w:r>
        <w:rPr>
          <w:rFonts w:ascii="Arial" w:hAnsi="Arial"/>
          <w:b w:val="0"/>
          <w:i/>
          <w:sz w:val="24"/>
        </w:rPr>
        <w:t>“en los próximos días del mes en curso”</w:t>
      </w:r>
      <w:r>
        <w:rPr>
          <w:rFonts w:ascii="Arial" w:hAnsi="Arial"/>
          <w:b w:val="0"/>
          <w:i w:val="0"/>
          <w:sz w:val="24"/>
        </w:rPr>
        <w:t>. Ese fue el método de la Sala: una tabla con una fila por índice; en el machote los datos van en prosa, y puedes añadir esa tabla si te resulta más clara.</w:t>
      </w:r>
    </w:p>
    <w:p>
      <w:pPr>
        <w:spacing w:line="360" w:lineRule="auto"/>
        <w:jc w:val="both"/>
      </w:pPr>
      <w:r>
        <w:rPr>
          <w:rFonts w:ascii="Arial" w:hAnsi="Arial"/>
          <w:b w:val="0"/>
          <w:i w:val="0"/>
          <w:sz w:val="24"/>
        </w:rPr>
        <w:t>Después llena los campos editables, imprime las ediciones del Diario Oficial para ofrecerlas como prueba y coteja el texto vigente de los artículos 20 y 20-Bis del Código Fiscal de la Federación para el periodo de cada índice: el machote los transcribe tal como aparecen en la sentencia, que es de 29 de agosto de 2025, y los preceptos de la Ley Federal de Procedimiento Contencioso Administrativo se citan en su texto reformado el 9 de junio de 2026. La sentencia ilustrativa es el juicio 3017/25-07-03-8 de la Tercera Sala Regional en Jalisco; invócala sólo como criterio orientador, nunca como precedente obligatorio.</w:t>
      </w:r>
    </w:p>
    <w:p>
      <w:pPr>
        <w:spacing w:line="360" w:lineRule="auto"/>
        <w:jc w:val="both"/>
      </w:pPr>
      <w:r>
        <w:rPr>
          <w:rFonts w:ascii="Arial" w:hAnsi="Arial"/>
          <w:b w:val="0"/>
          <w:i w:val="0"/>
          <w:sz w:val="24"/>
        </w:rPr>
        <w:t>Si la resolución, además, ni siquiera cita la fecha de publicación de cada índice, ese es un vicio distinto: plantéalo en un concepto separado. Recuerda que la demanda se presenta dentro de los treinta días siguientes a que surta efectos la notificación de la resolución (artículo 13, fracción I, en la vía ordinaria, y artículo 58-2, párrafo tercero, en la sumaria).</w:t>
      </w:r>
    </w:p>
    <w:p>
      <w:pPr>
        <w:spacing w:line="360" w:lineRule="auto"/>
        <w:jc w:val="both"/>
      </w:pPr>
      <w:r>
        <w:rPr>
          <w:rFonts w:ascii="Arial" w:hAnsi="Arial"/>
          <w:b w:val="0"/>
          <w:i w:val="0"/>
          <w:sz w:val="24"/>
        </w:rPr>
        <w:t>Campos editables y qué poner en cada uno:</w:t>
      </w:r>
    </w:p>
    <w:p>
      <w:pPr>
        <w:spacing w:line="360" w:lineRule="auto"/>
        <w:jc w:val="both"/>
      </w:pPr>
      <w:r>
        <w:rPr>
          <w:rFonts w:ascii="Arial" w:hAnsi="Arial"/>
          <w:b/>
          <w:i w:val="0"/>
          <w:sz w:val="24"/>
        </w:rPr>
        <w:t>[NÚMERO ORDINAL DEL CONCEPTO]</w:t>
      </w:r>
      <w:r>
        <w:rPr>
          <w:rFonts w:ascii="Arial" w:hAnsi="Arial"/>
          <w:b w:val="0"/>
          <w:i w:val="0"/>
          <w:sz w:val="24"/>
        </w:rPr>
        <w:t>: el ordinal que le corresponda en tu demanda (PRIMERO, SEGUNDO…).</w:t>
      </w:r>
    </w:p>
    <w:p>
      <w:pPr>
        <w:spacing w:line="360" w:lineRule="auto"/>
        <w:jc w:val="both"/>
      </w:pPr>
      <w:r>
        <w:rPr>
          <w:rFonts w:ascii="Arial" w:hAnsi="Arial"/>
          <w:b/>
          <w:i w:val="0"/>
          <w:sz w:val="24"/>
        </w:rPr>
        <w:t>[NÚMERO DE OFICIO DE LA RESOLUCIÓN IMPUGNADA]</w:t>
      </w:r>
      <w:r>
        <w:rPr>
          <w:rFonts w:ascii="Arial" w:hAnsi="Arial"/>
          <w:b w:val="0"/>
          <w:i w:val="0"/>
          <w:sz w:val="24"/>
        </w:rPr>
        <w:t>: el número exacto del oficio que determinó el crédito.</w:t>
      </w:r>
    </w:p>
    <w:p>
      <w:pPr>
        <w:spacing w:line="360" w:lineRule="auto"/>
        <w:jc w:val="both"/>
      </w:pPr>
      <w:r>
        <w:rPr>
          <w:rFonts w:ascii="Arial" w:hAnsi="Arial"/>
          <w:b/>
          <w:i w:val="0"/>
          <w:sz w:val="24"/>
        </w:rPr>
        <w:t>[FECHA DE EMISIÓN DE LA RESOLUCIÓN IMPUGNADA]</w:t>
      </w:r>
      <w:r>
        <w:rPr>
          <w:rFonts w:ascii="Arial" w:hAnsi="Arial"/>
          <w:b w:val="0"/>
          <w:i w:val="0"/>
          <w:sz w:val="24"/>
        </w:rPr>
        <w:t>: la fecha que lleva el oficio.</w:t>
      </w:r>
    </w:p>
    <w:p>
      <w:pPr>
        <w:spacing w:line="360" w:lineRule="auto"/>
        <w:jc w:val="both"/>
      </w:pPr>
      <w:r>
        <w:rPr>
          <w:rFonts w:ascii="Arial" w:hAnsi="Arial"/>
          <w:b/>
          <w:i w:val="0"/>
          <w:sz w:val="24"/>
        </w:rPr>
        <w:t>[FECHA DE NOTIFICACIÓN DE LA RESOLUCIÓN IMPUGNADA]</w:t>
      </w:r>
      <w:r>
        <w:rPr>
          <w:rFonts w:ascii="Arial" w:hAnsi="Arial"/>
          <w:b w:val="0"/>
          <w:i w:val="0"/>
          <w:sz w:val="24"/>
        </w:rPr>
        <w:t>: el día en que se notificó, incluido el buzón tributario.</w:t>
      </w:r>
    </w:p>
    <w:p>
      <w:pPr>
        <w:spacing w:line="360" w:lineRule="auto"/>
        <w:jc w:val="both"/>
      </w:pPr>
      <w:r>
        <w:rPr>
          <w:rFonts w:ascii="Arial" w:hAnsi="Arial"/>
          <w:b/>
          <w:i w:val="0"/>
          <w:sz w:val="24"/>
        </w:rPr>
        <w:t>[AUTORIDAD DEMANDADA]</w:t>
      </w:r>
      <w:r>
        <w:rPr>
          <w:rFonts w:ascii="Arial" w:hAnsi="Arial"/>
          <w:b w:val="0"/>
          <w:i w:val="0"/>
          <w:sz w:val="24"/>
        </w:rPr>
        <w:t>: la unidad administrativa emisora, con su denominación completa.</w:t>
      </w:r>
    </w:p>
    <w:p>
      <w:pPr>
        <w:spacing w:line="360" w:lineRule="auto"/>
        <w:jc w:val="both"/>
      </w:pPr>
      <w:r>
        <w:rPr>
          <w:rFonts w:ascii="Arial" w:hAnsi="Arial"/>
          <w:b/>
          <w:i w:val="0"/>
          <w:sz w:val="24"/>
        </w:rPr>
        <w:t>[NOMBRE DE LA PARTE ACTORA]</w:t>
      </w:r>
      <w:r>
        <w:rPr>
          <w:rFonts w:ascii="Arial" w:hAnsi="Arial"/>
          <w:b w:val="0"/>
          <w:i w:val="0"/>
          <w:sz w:val="24"/>
        </w:rPr>
        <w:t>: la persona física o moral a cuyo cargo se determinó el crédito.</w:t>
      </w:r>
    </w:p>
    <w:p>
      <w:pPr>
        <w:spacing w:line="360" w:lineRule="auto"/>
        <w:jc w:val="both"/>
      </w:pPr>
      <w:r>
        <w:rPr>
          <w:rFonts w:ascii="Arial" w:hAnsi="Arial"/>
          <w:b/>
          <w:i w:val="0"/>
          <w:sz w:val="24"/>
        </w:rPr>
        <w:t>[MONTO DEL CRÉDITO FISCAL]</w:t>
      </w:r>
      <w:r>
        <w:rPr>
          <w:rFonts w:ascii="Arial" w:hAnsi="Arial"/>
          <w:b w:val="0"/>
          <w:i w:val="0"/>
          <w:sz w:val="24"/>
        </w:rPr>
        <w:t>: la cantidad total determinada, con número y letra.</w:t>
      </w:r>
    </w:p>
    <w:p>
      <w:pPr>
        <w:spacing w:line="360" w:lineRule="auto"/>
        <w:jc w:val="both"/>
      </w:pPr>
      <w:r>
        <w:rPr>
          <w:rFonts w:ascii="Arial" w:hAnsi="Arial"/>
          <w:b/>
          <w:i w:val="0"/>
          <w:sz w:val="24"/>
        </w:rPr>
        <w:t>[CONCEPTO DEL CRÉDITO FISCAL]</w:t>
      </w:r>
      <w:r>
        <w:rPr>
          <w:rFonts w:ascii="Arial" w:hAnsi="Arial"/>
          <w:b w:val="0"/>
          <w:i w:val="0"/>
          <w:sz w:val="24"/>
        </w:rPr>
        <w:t>: multa, contribución omitida o accesorio, tal como lo nombra la resolución.</w:t>
      </w:r>
    </w:p>
    <w:p>
      <w:pPr>
        <w:spacing w:line="360" w:lineRule="auto"/>
        <w:jc w:val="both"/>
      </w:pPr>
      <w:r>
        <w:rPr>
          <w:rFonts w:ascii="Arial" w:hAnsi="Arial"/>
          <w:b/>
          <w:i w:val="0"/>
          <w:sz w:val="24"/>
        </w:rPr>
        <w:t>[FOJAS O APARTADO DE LA RESOLUCIÓN DONDE CONSTA LA ACTUALIZACIÓN]</w:t>
      </w:r>
      <w:r>
        <w:rPr>
          <w:rFonts w:ascii="Arial" w:hAnsi="Arial"/>
          <w:b w:val="0"/>
          <w:i w:val="0"/>
          <w:sz w:val="24"/>
        </w:rPr>
        <w:t>: las hojas o el apartado del oficio donde aparecen los índices y los factores de actualización.</w:t>
      </w:r>
    </w:p>
    <w:p>
      <w:pPr>
        <w:spacing w:line="360" w:lineRule="auto"/>
        <w:jc w:val="both"/>
      </w:pPr>
      <w:r>
        <w:rPr>
          <w:rFonts w:ascii="Arial" w:hAnsi="Arial"/>
          <w:b/>
          <w:i w:val="0"/>
          <w:sz w:val="24"/>
        </w:rPr>
        <w:t>[MES Y AÑO DEL ÍNDICE]</w:t>
      </w:r>
      <w:r>
        <w:rPr>
          <w:rFonts w:ascii="Arial" w:hAnsi="Arial"/>
          <w:b w:val="0"/>
          <w:i w:val="0"/>
          <w:sz w:val="24"/>
        </w:rPr>
        <w:t>: el primer índice que vas a desarrollar como ejemplo (por ejemplo, noviembre de un año determinado).</w:t>
      </w:r>
    </w:p>
    <w:p>
      <w:pPr>
        <w:spacing w:line="360" w:lineRule="auto"/>
        <w:jc w:val="both"/>
      </w:pPr>
      <w:r>
        <w:rPr>
          <w:rFonts w:ascii="Arial" w:hAnsi="Arial"/>
          <w:b/>
          <w:i w:val="0"/>
          <w:sz w:val="24"/>
        </w:rPr>
        <w:t>[FECHA DE PUBLICACIÓN DEL ÍNDICE EN EL DIARIO OFICIAL]</w:t>
      </w:r>
      <w:r>
        <w:rPr>
          <w:rFonts w:ascii="Arial" w:hAnsi="Arial"/>
          <w:b w:val="0"/>
          <w:i w:val="0"/>
          <w:sz w:val="24"/>
        </w:rPr>
        <w:t>: la fecha de la edición del Diario Oficial de la Federación en que apareció ese índice.</w:t>
      </w:r>
    </w:p>
    <w:p>
      <w:pPr>
        <w:spacing w:line="360" w:lineRule="auto"/>
        <w:jc w:val="both"/>
      </w:pPr>
      <w:r>
        <w:rPr>
          <w:rFonts w:ascii="Arial" w:hAnsi="Arial"/>
          <w:b/>
          <w:i w:val="0"/>
          <w:sz w:val="24"/>
        </w:rPr>
        <w:t>[FECHA LÍMITE PARA PUBLICAR EL PROCEDIMIENTO DE CÁLCULO]</w:t>
      </w:r>
      <w:r>
        <w:rPr>
          <w:rFonts w:ascii="Arial" w:hAnsi="Arial"/>
          <w:b w:val="0"/>
          <w:i w:val="0"/>
          <w:sz w:val="24"/>
        </w:rPr>
        <w:t>: el décimo día del mes siguiente al del índice.</w:t>
      </w:r>
    </w:p>
    <w:p>
      <w:pPr>
        <w:spacing w:line="360" w:lineRule="auto"/>
        <w:jc w:val="both"/>
      </w:pPr>
      <w:r>
        <w:rPr>
          <w:rFonts w:ascii="Arial" w:hAnsi="Arial"/>
          <w:b/>
          <w:i w:val="0"/>
          <w:sz w:val="24"/>
        </w:rPr>
        <w:t>[FECHA POSTERIOR EN QUE SE PUBLICÓ EL PROCEDIMIENTO, EN SU CASO]</w:t>
      </w:r>
      <w:r>
        <w:rPr>
          <w:rFonts w:ascii="Arial" w:hAnsi="Arial"/>
          <w:b w:val="0"/>
          <w:i w:val="0"/>
          <w:sz w:val="24"/>
        </w:rPr>
        <w:t>: la fecha en que, ya fuera del plazo, se difundieron las ciudades, artículos, conceptos de consumo y cotizaciones; si no la localizas, reescribe la frase para decir que no consta su publicación.</w:t>
      </w:r>
    </w:p>
    <w:p>
      <w:pPr>
        <w:spacing w:line="360" w:lineRule="auto"/>
        <w:jc w:val="both"/>
      </w:pPr>
      <w:r>
        <w:rPr>
          <w:rFonts w:ascii="Arial" w:hAnsi="Arial"/>
          <w:b/>
          <w:i w:val="0"/>
          <w:sz w:val="24"/>
        </w:rPr>
        <w:t>[RELACIÓN DE LOS DEMÁS ÍNDICES CON LOS MISMOS DATOS]</w:t>
      </w:r>
      <w:r>
        <w:rPr>
          <w:rFonts w:ascii="Arial" w:hAnsi="Arial"/>
          <w:b w:val="0"/>
          <w:i w:val="0"/>
          <w:sz w:val="24"/>
        </w:rPr>
        <w:t>: cada uno de los otros índices que usó la autoridad, en prosa, con su mes, fecha de publicación, fecha límite y leyenda.</w:t>
      </w:r>
    </w:p>
    <w:p>
      <w:pPr>
        <w:spacing w:line="360" w:lineRule="auto"/>
        <w:jc w:val="both"/>
      </w:pPr>
      <w:r>
        <w:rPr>
          <w:rFonts w:ascii="Arial" w:hAnsi="Arial"/>
          <w:b/>
          <w:i w:val="0"/>
          <w:sz w:val="24"/>
        </w:rPr>
        <w:t>[NÚMERO DE LA PRUEBA DOCUMENTAL QUE CONTIENE LOS EJEMPLARES DEL DIARIO OFICIAL]</w:t>
      </w:r>
      <w:r>
        <w:rPr>
          <w:rFonts w:ascii="Arial" w:hAnsi="Arial"/>
          <w:b w:val="0"/>
          <w:i w:val="0"/>
          <w:sz w:val="24"/>
        </w:rPr>
        <w:t>: el número que asignes en tu capítulo de pruebas a las impresiones de las ediciones del Diario Oficial.</w:t>
      </w:r>
    </w:p>
    <w:p/>
    <w:p>
      <w:pPr>
        <w:spacing w:line="360" w:lineRule="auto"/>
        <w:jc w:val="both"/>
      </w:pPr>
      <w:r>
        <w:rPr>
          <w:rFonts w:ascii="Arial" w:hAnsi="Arial"/>
          <w:b/>
          <w:sz w:val="28"/>
        </w:rPr>
        <w:t>[NÚMERO ORDINAL DEL CONCEPTO] CONCEPTO DE IMPUGNACIÓN. Ilegal actualización del crédito fiscal con índices nacionales de precios al consumidor cuyo procedimiento de cálculo no se publicó en el plazo legal. La resolución impugnada incrementó el monto adeudado con valores emitidos sin dar a conocer, dentro de los diez primeros días del mes siguiente, los elementos que exige el último párrafo del artículo 20-Bis del Código Fiscal de la Federación, por lo que se configuran las causales de nulidad del artículo 51, fracciones IV y II, de la Ley Federal de Procedimiento Contencioso Administrativo.</w:t>
      </w:r>
    </w:p>
    <w:p>
      <w:pPr>
        <w:spacing w:line="360" w:lineRule="auto"/>
        <w:jc w:val="both"/>
      </w:pPr>
      <w:r>
        <w:rPr>
          <w:rFonts w:ascii="Arial" w:hAnsi="Arial"/>
          <w:b/>
          <w:sz w:val="28"/>
        </w:rPr>
        <w:t>I. Síntesis del concepto.</w:t>
      </w:r>
    </w:p>
    <w:p>
      <w:pPr>
        <w:spacing w:line="360" w:lineRule="auto"/>
        <w:jc w:val="both"/>
      </w:pPr>
      <w:r>
        <w:rPr>
          <w:rFonts w:ascii="Arial" w:hAnsi="Arial"/>
          <w:b w:val="0"/>
          <w:i w:val="0"/>
          <w:sz w:val="28"/>
        </w:rPr>
        <w:t xml:space="preserve">En este apartado se demostrará que la resolución contenida en el oficio </w:t>
      </w:r>
      <w:r>
        <w:rPr>
          <w:rFonts w:ascii="Arial" w:hAnsi="Arial"/>
          <w:b/>
          <w:i w:val="0"/>
          <w:sz w:val="28"/>
        </w:rPr>
        <w:t>[NÚMERO DE OFICIO DE LA RESOLUCIÓN IMPUGNADA]</w:t>
      </w:r>
      <w:r>
        <w:rPr>
          <w:rFonts w:ascii="Arial" w:hAnsi="Arial"/>
          <w:b w:val="0"/>
          <w:i w:val="0"/>
          <w:sz w:val="28"/>
        </w:rPr>
        <w:t xml:space="preserve">, de </w:t>
      </w:r>
      <w:r>
        <w:rPr>
          <w:rFonts w:ascii="Arial" w:hAnsi="Arial"/>
          <w:b/>
          <w:i w:val="0"/>
          <w:sz w:val="28"/>
        </w:rPr>
        <w:t>[FECHA DE EMISIÓN DE LA RESOLUCIÓN IMPUGNADA]</w:t>
      </w:r>
      <w:r>
        <w:rPr>
          <w:rFonts w:ascii="Arial" w:hAnsi="Arial"/>
          <w:b w:val="0"/>
          <w:i w:val="0"/>
          <w:sz w:val="28"/>
        </w:rPr>
        <w:t xml:space="preserve">, por la que la </w:t>
      </w:r>
      <w:r>
        <w:rPr>
          <w:rFonts w:ascii="Arial" w:hAnsi="Arial"/>
          <w:b/>
          <w:i w:val="0"/>
          <w:sz w:val="28"/>
        </w:rPr>
        <w:t>[AUTORIDAD DEMANDADA]</w:t>
      </w:r>
      <w:r>
        <w:rPr>
          <w:rFonts w:ascii="Arial" w:hAnsi="Arial"/>
          <w:b w:val="0"/>
          <w:i w:val="0"/>
          <w:sz w:val="28"/>
        </w:rPr>
        <w:t xml:space="preserve"> determinó a cargo de </w:t>
      </w:r>
      <w:r>
        <w:rPr>
          <w:rFonts w:ascii="Arial" w:hAnsi="Arial"/>
          <w:b/>
          <w:i w:val="0"/>
          <w:sz w:val="28"/>
        </w:rPr>
        <w:t>[NOMBRE DE LA PARTE ACTORA]</w:t>
      </w:r>
      <w:r>
        <w:rPr>
          <w:rFonts w:ascii="Arial" w:hAnsi="Arial"/>
          <w:b w:val="0"/>
          <w:i w:val="0"/>
          <w:sz w:val="28"/>
        </w:rPr>
        <w:t xml:space="preserve"> un crédito fiscal de </w:t>
      </w:r>
      <w:r>
        <w:rPr>
          <w:rFonts w:ascii="Arial" w:hAnsi="Arial"/>
          <w:b/>
          <w:i w:val="0"/>
          <w:sz w:val="28"/>
        </w:rPr>
        <w:t>[MONTO DEL CRÉDITO FISCAL]</w:t>
      </w:r>
      <w:r>
        <w:rPr>
          <w:rFonts w:ascii="Arial" w:hAnsi="Arial"/>
          <w:b w:val="0"/>
          <w:i w:val="0"/>
          <w:sz w:val="28"/>
        </w:rPr>
        <w:t xml:space="preserve"> por concepto de </w:t>
      </w:r>
      <w:r>
        <w:rPr>
          <w:rFonts w:ascii="Arial" w:hAnsi="Arial"/>
          <w:b/>
          <w:i w:val="0"/>
          <w:sz w:val="28"/>
        </w:rPr>
        <w:t>[CONCEPTO DEL CRÉDITO FISCAL]</w:t>
      </w:r>
      <w:r>
        <w:rPr>
          <w:rFonts w:ascii="Arial" w:hAnsi="Arial"/>
          <w:b w:val="0"/>
          <w:i w:val="0"/>
          <w:sz w:val="28"/>
        </w:rPr>
        <w:t>, actualizó ese importe con Índices Nacionales de Precios al Consumidor que nacieron viciados, porque el organismo que los calcula no difundió en el plazo legal el procedimiento conforme al cual los obtuvo.</w:t>
      </w:r>
    </w:p>
    <w:p>
      <w:pPr>
        <w:spacing w:line="360" w:lineRule="auto"/>
        <w:jc w:val="both"/>
      </w:pPr>
      <w:r>
        <w:rPr>
          <w:rFonts w:ascii="Arial" w:hAnsi="Arial"/>
          <w:b w:val="0"/>
          <w:i w:val="0"/>
          <w:sz w:val="28"/>
        </w:rPr>
        <w:t xml:space="preserve">La demostración descansa en dos premisas verificables en el Diario Oficial de la Federación. Primera: el código tributario federal ordena que el índice se dé a conocer dentro de los primeros diez días del mes siguiente al que corresponda y obliga al Instituto Nacional de Estadística y Geografía a difundir, en ese mismo medio, las ciudades, artículos, servicios, conceptos de consumo, ramas y cotizaciones con que lo calcula. Segunda: en las ediciones donde aparecieron los valores aplicados a la parte actora, ese Instituto se limitó a anunciar que tales elementos saldrían </w:t>
      </w:r>
      <w:r>
        <w:rPr>
          <w:rFonts w:ascii="Arial" w:hAnsi="Arial"/>
          <w:b w:val="0"/>
          <w:i/>
          <w:sz w:val="28"/>
        </w:rPr>
        <w:t>“en los próximos días del mes en curso”</w:t>
      </w:r>
      <w:r>
        <w:rPr>
          <w:rFonts w:ascii="Arial" w:hAnsi="Arial"/>
          <w:b w:val="0"/>
          <w:i w:val="0"/>
          <w:sz w:val="28"/>
        </w:rPr>
        <w:t>.</w:t>
      </w:r>
    </w:p>
    <w:p>
      <w:pPr>
        <w:spacing w:line="360" w:lineRule="auto"/>
        <w:jc w:val="both"/>
      </w:pPr>
      <w:r>
        <w:rPr>
          <w:rFonts w:ascii="Arial" w:hAnsi="Arial"/>
          <w:b w:val="0"/>
          <w:i w:val="0"/>
          <w:sz w:val="28"/>
        </w:rPr>
        <w:t>Si la oportunidad de esa difusión forma parte de la legalidad del índice, la consecuencia es directa: la actualización descansa en cifras emitidas en contravención de la norma que las regula, el vicio se transmite al monto determinado y procede declarar la nulidad de la resolución en los términos que se precisan al final de este concepto.</w:t>
      </w:r>
    </w:p>
    <w:p>
      <w:pPr>
        <w:spacing w:line="360" w:lineRule="auto"/>
        <w:jc w:val="both"/>
      </w:pPr>
      <w:r>
        <w:rPr>
          <w:rFonts w:ascii="Arial" w:hAnsi="Arial"/>
          <w:b/>
          <w:sz w:val="28"/>
        </w:rPr>
        <w:t>II. Planteamiento.</w:t>
      </w:r>
    </w:p>
    <w:p>
      <w:pPr>
        <w:spacing w:line="360" w:lineRule="auto"/>
        <w:jc w:val="both"/>
      </w:pPr>
      <w:r>
        <w:rPr>
          <w:rFonts w:ascii="Arial" w:hAnsi="Arial"/>
          <w:b w:val="0"/>
          <w:i w:val="0"/>
          <w:sz w:val="28"/>
        </w:rPr>
        <w:t xml:space="preserve">El acto cuya nulidad se demanda es la resolución contenida en el oficio </w:t>
      </w:r>
      <w:r>
        <w:rPr>
          <w:rFonts w:ascii="Arial" w:hAnsi="Arial"/>
          <w:b/>
          <w:i w:val="0"/>
          <w:sz w:val="28"/>
        </w:rPr>
        <w:t>[NÚMERO DE OFICIO DE LA RESOLUCIÓN IMPUGNADA]</w:t>
      </w:r>
      <w:r>
        <w:rPr>
          <w:rFonts w:ascii="Arial" w:hAnsi="Arial"/>
          <w:b w:val="0"/>
          <w:i w:val="0"/>
          <w:sz w:val="28"/>
        </w:rPr>
        <w:t xml:space="preserve">, notificada el </w:t>
      </w:r>
      <w:r>
        <w:rPr>
          <w:rFonts w:ascii="Arial" w:hAnsi="Arial"/>
          <w:b/>
          <w:i w:val="0"/>
          <w:sz w:val="28"/>
        </w:rPr>
        <w:t>[FECHA DE NOTIFICACIÓN DE LA RESOLUCIÓN IMPUGNADA]</w:t>
      </w:r>
      <w:r>
        <w:rPr>
          <w:rFonts w:ascii="Arial" w:hAnsi="Arial"/>
          <w:b w:val="0"/>
          <w:i w:val="0"/>
          <w:sz w:val="28"/>
        </w:rPr>
        <w:t xml:space="preserve">, específicamente en la parte visible en </w:t>
      </w:r>
      <w:r>
        <w:rPr>
          <w:rFonts w:ascii="Arial" w:hAnsi="Arial"/>
          <w:b/>
          <w:i w:val="0"/>
          <w:sz w:val="28"/>
        </w:rPr>
        <w:t>[FOJAS O APARTADO DE LA RESOLUCIÓN DONDE CONSTA LA ACTUALIZACIÓN]</w:t>
      </w:r>
      <w:r>
        <w:rPr>
          <w:rFonts w:ascii="Arial" w:hAnsi="Arial"/>
          <w:b w:val="0"/>
          <w:i w:val="0"/>
          <w:sz w:val="28"/>
        </w:rPr>
        <w:t xml:space="preserve">, donde la autoridad actualizó el </w:t>
      </w:r>
      <w:r>
        <w:rPr>
          <w:rFonts w:ascii="Arial" w:hAnsi="Arial"/>
          <w:b/>
          <w:i w:val="0"/>
          <w:sz w:val="28"/>
        </w:rPr>
        <w:t>[CONCEPTO DEL CRÉDITO FISCAL]</w:t>
      </w:r>
      <w:r>
        <w:rPr>
          <w:rFonts w:ascii="Arial" w:hAnsi="Arial"/>
          <w:b w:val="0"/>
          <w:i w:val="0"/>
          <w:sz w:val="28"/>
        </w:rPr>
        <w:t xml:space="preserve"> mediante factores obtenidos de los índices de los meses que ahí enumera.</w:t>
      </w:r>
    </w:p>
    <w:p>
      <w:pPr>
        <w:spacing w:line="360" w:lineRule="auto"/>
        <w:jc w:val="both"/>
      </w:pPr>
      <w:r>
        <w:rPr>
          <w:rFonts w:ascii="Arial" w:hAnsi="Arial"/>
          <w:b w:val="0"/>
          <w:i w:val="0"/>
          <w:sz w:val="28"/>
        </w:rPr>
        <w:t>Las normas cuya inobservancia se plantea son los artículos 20, segundo párrafo, y 20-Bis, último párrafo, del Código Fiscal de la Federación, que regulan el cálculo y la difusión del índice, así como el artículo 16, primer párrafo, de la Constitución Política de los Estados Unidos Mexicanos, que exige que todo acto de molestia conste en mandamiento escrito de autoridad competente que funde y motive la causa legal del procedimiento, y del que derivan los principios de legalidad y de seguridad jurídica.</w:t>
      </w:r>
    </w:p>
    <w:p>
      <w:pPr>
        <w:spacing w:line="360" w:lineRule="auto"/>
        <w:jc w:val="both"/>
      </w:pPr>
      <w:r>
        <w:rPr>
          <w:rFonts w:ascii="Arial" w:hAnsi="Arial"/>
          <w:b w:val="0"/>
          <w:i w:val="0"/>
          <w:sz w:val="28"/>
        </w:rPr>
        <w:t>El perjuicio es concreto y cuantificable: la actualización incrementó el adeudo en una cantidad que la parte actora no puede verificar, pues los parámetros de los que depende no se difundieron en el tiempo que la ley impone, y aun así se le exige su pago como parte integrante del crédito determinado.</w:t>
      </w:r>
    </w:p>
    <w:p>
      <w:pPr>
        <w:spacing w:line="360" w:lineRule="auto"/>
        <w:jc w:val="both"/>
      </w:pPr>
      <w:r>
        <w:rPr>
          <w:rFonts w:ascii="Arial" w:hAnsi="Arial"/>
          <w:b w:val="0"/>
          <w:i w:val="0"/>
          <w:sz w:val="28"/>
        </w:rPr>
        <w:t>Conviene precisar que este concepto no requiere señalar al Instituto Nacional de Estadística y Geografía como autoridad demandada ni a los índices como actos impugnados, pues lo que se combate es la resolución definitiva en la parte en que aplicó esos valores.</w:t>
      </w:r>
    </w:p>
    <w:p>
      <w:pPr>
        <w:spacing w:line="360" w:lineRule="auto"/>
        <w:jc w:val="both"/>
      </w:pPr>
      <w:r>
        <w:rPr>
          <w:rFonts w:ascii="Arial" w:hAnsi="Arial"/>
          <w:b w:val="0"/>
          <w:i w:val="0"/>
          <w:sz w:val="28"/>
        </w:rPr>
        <w:t>En efecto, el artículo 50 de la Ley Federal de Procedimiento Contencioso Administrativo ordena que la sentencia resuelva sobre la pretensión que se deduzca de la demanda en relación con la resolución impugnada y faculta a esa Sala para examinar en su conjunto los agravios y causales de ilegalidad, a fin de resolver la cuestión efectivamente planteada, de modo que la regularidad de los índices aplicados forma parte natural de la litis.</w:t>
      </w:r>
    </w:p>
    <w:p>
      <w:pPr>
        <w:spacing w:line="360" w:lineRule="auto"/>
        <w:jc w:val="both"/>
      </w:pPr>
      <w:r>
        <w:rPr>
          <w:rFonts w:ascii="Arial" w:hAnsi="Arial"/>
          <w:b w:val="0"/>
          <w:i w:val="0"/>
          <w:sz w:val="28"/>
        </w:rPr>
        <w:t>Así lo entendió, a título ilustrativo, la Tercera Sala Regional en Jalisco de este Tribunal en sentencia de veintinueve de agosto de dos mil veinticinco, en la que, frente a índices publicados con la misma leyenda y aplicados a una multa, consultó el Diario Oficial, constató la omisión y declaró la nulidad de la resolución. Se invoca sólo por la fuerza de sus razones, pues no constituye precedente obligatorio; además, ese fallo es anterior a la reforma de la ley procesal publicada el nueve de junio de dos mil veintiséis, por lo que los preceptos de ese ordenamiento se citan aquí en su texto vigente.</w:t>
      </w:r>
    </w:p>
    <w:p>
      <w:pPr>
        <w:spacing w:line="360" w:lineRule="auto"/>
        <w:jc w:val="both"/>
      </w:pPr>
      <w:r>
        <w:rPr>
          <w:rFonts w:ascii="Arial" w:hAnsi="Arial"/>
          <w:b/>
          <w:sz w:val="28"/>
        </w:rPr>
        <w:t>III. Desarrollo doctrinal y normativo. Premisa mayor.</w:t>
      </w:r>
    </w:p>
    <w:p>
      <w:pPr>
        <w:spacing w:line="360" w:lineRule="auto"/>
        <w:jc w:val="both"/>
      </w:pPr>
      <w:r>
        <w:rPr>
          <w:rFonts w:ascii="Arial" w:hAnsi="Arial"/>
          <w:b w:val="0"/>
          <w:i w:val="0"/>
          <w:sz w:val="28"/>
        </w:rPr>
        <w:t>La actualización de créditos fiscales es una operación técnica cuyo resultado depende por completo de un dato externo, el índice, que la persona contribuyente no elabora ni controla. Por esa razón el legislador sometió ese dato a reglas precisas de cálculo y de difusión, y la validez de cualquier monto actualizado queda condicionada a que el valor empleado se haya emitido con apego a ellas.</w:t>
      </w:r>
    </w:p>
    <w:p>
      <w:pPr>
        <w:spacing w:line="360" w:lineRule="auto"/>
        <w:jc w:val="both"/>
      </w:pPr>
      <w:r>
        <w:rPr>
          <w:rFonts w:ascii="Arial" w:hAnsi="Arial"/>
          <w:b w:val="0"/>
          <w:i w:val="0"/>
          <w:sz w:val="28"/>
        </w:rPr>
        <w:t>La doctrina identifica en la seguridad jurídica tres elementos: la certeza, entendida como el conocimiento seguro, claro y evidente de las normas existentes; la eficacia del derecho, y la ausencia de arbitrariedad en su aplicación.</w:t>
      </w:r>
      <w:r>
        <w:rPr>
          <w:rFonts w:ascii="Arial" w:hAnsi="Arial"/>
          <w:vertAlign w:val="superscript"/>
        </w:rPr>
        <w:t>1</w:t>
      </w:r>
      <w:r>
        <w:rPr>
          <w:rFonts w:ascii="Arial" w:hAnsi="Arial"/>
          <w:b w:val="0"/>
          <w:i w:val="0"/>
          <w:sz w:val="28"/>
        </w:rPr>
        <w:t xml:space="preserve"> Un índice cuyo método permanece oculto durante el plazo en que debe regir compromete los tres: impide conocer con certeza la regla aplicada, priva de eficacia al control que la ley quiso asegurar y abandona su contenido a la discreción del órgano que lo emite.</w:t>
      </w:r>
    </w:p>
    <w:p>
      <w:pPr>
        <w:spacing w:line="360" w:lineRule="auto"/>
        <w:jc w:val="both"/>
      </w:pPr>
      <w:r>
        <w:rPr>
          <w:rFonts w:ascii="Arial" w:hAnsi="Arial"/>
          <w:b w:val="0"/>
          <w:i w:val="0"/>
          <w:sz w:val="28"/>
        </w:rPr>
        <w:t>La tradición ilustrada vinculó la certeza del derecho con la previsibilidad que otorga el conocimiento de una legislación pública, y el ideal de que cada persona pueda programar su conducta conforme a reglas conocidas sigue considerándose un objetivo digno de perseguirse.</w:t>
      </w:r>
      <w:r>
        <w:rPr>
          <w:rFonts w:ascii="Arial" w:hAnsi="Arial"/>
          <w:vertAlign w:val="superscript"/>
        </w:rPr>
        <w:t>2</w:t>
      </w:r>
      <w:r>
        <w:rPr>
          <w:rFonts w:ascii="Arial" w:hAnsi="Arial"/>
          <w:b w:val="0"/>
          <w:i w:val="0"/>
          <w:sz w:val="28"/>
        </w:rPr>
        <w:t xml:space="preserve"> Trasladada al cálculo de actualizaciones, esa idea explica por qué la ley, además de ordenar la difusión del número final, exigió la de los elementos que lo generan: sólo así el destinatario puede reconstruir la operación y comprobar si el valor que se le aplica corresponde a la realidad que pretende medir.</w:t>
      </w:r>
    </w:p>
    <w:p>
      <w:pPr>
        <w:spacing w:line="360" w:lineRule="auto"/>
        <w:jc w:val="both"/>
      </w:pPr>
      <w:r>
        <w:rPr>
          <w:rFonts w:ascii="Arial" w:hAnsi="Arial"/>
          <w:b w:val="0"/>
          <w:i w:val="0"/>
          <w:sz w:val="28"/>
        </w:rPr>
        <w:t>A ello se suma el principio de legalidad, que opera como límite al ejercicio del poder público: obliga a los órganos del Estado a actuar con apego estricto a la ley vigente y protege la esfera de las personas frente a intervenciones no previstas en ella.</w:t>
      </w:r>
      <w:r>
        <w:rPr>
          <w:rFonts w:ascii="Arial" w:hAnsi="Arial"/>
          <w:vertAlign w:val="superscript"/>
        </w:rPr>
        <w:t>3</w:t>
      </w:r>
      <w:r>
        <w:rPr>
          <w:rFonts w:ascii="Arial" w:hAnsi="Arial"/>
          <w:b w:val="0"/>
          <w:i w:val="0"/>
          <w:sz w:val="28"/>
        </w:rPr>
        <w:t xml:space="preserve"> El Instituto que calcula el índice y la autoridad fiscal que lo aplica están sujetos a ese límite, y ninguno puede alterar a su conveniencia el tiempo y la forma en que el legislador ordenó difundir el método de cálculo.</w:t>
      </w:r>
    </w:p>
    <w:p>
      <w:pPr>
        <w:spacing w:line="360" w:lineRule="auto"/>
        <w:jc w:val="both"/>
      </w:pPr>
      <w:r>
        <w:rPr>
          <w:rFonts w:ascii="Arial" w:hAnsi="Arial"/>
          <w:b w:val="0"/>
          <w:i w:val="0"/>
          <w:sz w:val="28"/>
        </w:rPr>
        <w:t xml:space="preserve">Sobre esa base debe leerse el texto aplicable. El artículo 20, segundo párrafo, del Código Fiscal de la Federación, en la redacción que transcribió la Sala del asunto ilustrativo, dispone: </w:t>
      </w:r>
      <w:r>
        <w:rPr>
          <w:rFonts w:ascii="Arial" w:hAnsi="Arial"/>
          <w:b w:val="0"/>
          <w:i/>
          <w:sz w:val="28"/>
        </w:rPr>
        <w:t>“En los casos en que las leyes fiscales así lo establezcan, a fin de determinar las contribuciones y sus accesorios se aplicará el Índice Nacional de Precios al Consumidor, el cual será calculado por el Instituto Nacional de Estadística y Geografía y se publicará en el Diario Oficial de la Federación dentro de los primeros diez días del mes siguiente al que corresponda.”</w:t>
      </w:r>
    </w:p>
    <w:p>
      <w:pPr>
        <w:spacing w:line="360" w:lineRule="auto"/>
        <w:jc w:val="both"/>
      </w:pPr>
      <w:r>
        <w:rPr>
          <w:rFonts w:ascii="Arial" w:hAnsi="Arial"/>
          <w:b w:val="0"/>
          <w:i w:val="0"/>
          <w:sz w:val="28"/>
        </w:rPr>
        <w:t xml:space="preserve">Por su parte, el último párrafo del artículo 20-Bis del mismo código, según la transcripción de ese fallo, establece: </w:t>
      </w:r>
      <w:r>
        <w:rPr>
          <w:rFonts w:ascii="Arial" w:hAnsi="Arial"/>
          <w:b w:val="0"/>
          <w:i/>
          <w:sz w:val="28"/>
        </w:rPr>
        <w:t>“El Instituto Nacional de Estadística y Geografía publicará en el Diario Oficial de la Federación las entidades federativas, zonas conurbadas, ciudades, artículos, servicios, conceptos de consumo y ramas a que se refieren las fracciones I y II de este artículo, así como las cotizaciones utilizadas para calcular el Índice Nacional de Precios al Consumidor.”</w:t>
      </w:r>
    </w:p>
    <w:p>
      <w:pPr>
        <w:spacing w:line="360" w:lineRule="auto"/>
        <w:jc w:val="both"/>
      </w:pPr>
      <w:r>
        <w:rPr>
          <w:rFonts w:ascii="Arial" w:hAnsi="Arial"/>
          <w:b w:val="0"/>
          <w:i w:val="0"/>
          <w:sz w:val="28"/>
        </w:rPr>
        <w:t xml:space="preserve">Es cierto que el último precepto no fija de manera expresa el plazo de esa segunda difusión, pero el silencio no autoriza a dejarla a la voluntad del obligado. La lectura armónica de ambos numerales conduce a que el índice y los elementos de su cálculo se den a conocer dentro del mismo plazo de diez días; la Sala del asunto ilustrativo razonó que esa publicación </w:t>
      </w:r>
      <w:r>
        <w:rPr>
          <w:rFonts w:ascii="Arial" w:hAnsi="Arial"/>
          <w:b w:val="0"/>
          <w:i/>
          <w:sz w:val="28"/>
        </w:rPr>
        <w:t>“no puede quedar al arbitrio de la autoridad obligada”</w:t>
      </w:r>
      <w:r>
        <w:rPr>
          <w:rFonts w:ascii="Arial" w:hAnsi="Arial"/>
          <w:b w:val="0"/>
          <w:i w:val="0"/>
          <w:sz w:val="28"/>
        </w:rPr>
        <w:t xml:space="preserve">, y precisó que ambas deben hacerse en ese término </w:t>
      </w:r>
      <w:r>
        <w:rPr>
          <w:rFonts w:ascii="Arial" w:hAnsi="Arial"/>
          <w:b w:val="0"/>
          <w:i/>
          <w:sz w:val="28"/>
        </w:rPr>
        <w:t>“sin que ello implique que su difusión se lleve a cabo de forma conjunta o en la misma fecha”</w:t>
      </w:r>
      <w:r>
        <w:rPr>
          <w:rFonts w:ascii="Arial" w:hAnsi="Arial"/>
          <w:b w:val="0"/>
          <w:i w:val="0"/>
          <w:sz w:val="28"/>
        </w:rPr>
        <w:t>.</w:t>
      </w:r>
    </w:p>
    <w:p>
      <w:pPr>
        <w:spacing w:line="360" w:lineRule="auto"/>
        <w:jc w:val="both"/>
      </w:pPr>
      <w:r>
        <w:rPr>
          <w:rFonts w:ascii="Arial" w:hAnsi="Arial"/>
          <w:b w:val="0"/>
          <w:i w:val="0"/>
          <w:sz w:val="28"/>
        </w:rPr>
        <w:t xml:space="preserve">La razón de esa exigencia es funcional. El índice entra en uso en cuanto se difunde; si el método que lo sustenta aparece después, durante todo el lapso intermedio rige un valor que nadie puede verificar, y se pierde la garantía que la norma quiso establecer: dar certeza de que, en palabras de la misma Sala, </w:t>
      </w:r>
      <w:r>
        <w:rPr>
          <w:rFonts w:ascii="Arial" w:hAnsi="Arial"/>
          <w:b w:val="0"/>
          <w:i/>
          <w:sz w:val="28"/>
        </w:rPr>
        <w:t>“los parámetros que fueron tomados en consideración concurren con la realidad económica del país”</w:t>
      </w:r>
      <w:r>
        <w:rPr>
          <w:rFonts w:ascii="Arial" w:hAnsi="Arial"/>
          <w:b w:val="0"/>
          <w:i w:val="0"/>
          <w:sz w:val="28"/>
        </w:rPr>
        <w:t>.</w:t>
      </w:r>
    </w:p>
    <w:p>
      <w:pPr>
        <w:spacing w:line="360" w:lineRule="auto"/>
        <w:jc w:val="both"/>
      </w:pPr>
      <w:r>
        <w:rPr>
          <w:rFonts w:ascii="Arial" w:hAnsi="Arial"/>
          <w:b w:val="0"/>
          <w:i w:val="0"/>
          <w:sz w:val="28"/>
        </w:rPr>
        <w:t>Finalmente, conviene distinguir entre la motivación formal y la material. La primera atiende a que el documento exprese las normas y razones de la decisión; la segunda mira al fondo del acto, a si los preceptos invocados se aplicaron debidamente y si las razones expresadas conducen en verdad a las consecuencias jurídicas pretendidas, aspecto que mide la corrección y la racionalidad del acto.</w:t>
      </w:r>
      <w:r>
        <w:rPr>
          <w:rFonts w:ascii="Arial" w:hAnsi="Arial"/>
          <w:vertAlign w:val="superscript"/>
        </w:rPr>
        <w:t>4</w:t>
      </w:r>
      <w:r>
        <w:rPr>
          <w:rFonts w:ascii="Arial" w:hAnsi="Arial"/>
          <w:b w:val="0"/>
          <w:i w:val="0"/>
          <w:sz w:val="28"/>
        </w:rPr>
        <w:t xml:space="preserve"> Una actualización calculada con índices emitidos contra la ley puede estar explicada en el papel y, aun así, ser materialmente incorrecta, porque la cifra resultante descansa en un valor que no debió surtir efectos.</w:t>
      </w:r>
    </w:p>
    <w:p>
      <w:pPr>
        <w:spacing w:line="360" w:lineRule="auto"/>
        <w:jc w:val="both"/>
      </w:pPr>
      <w:r>
        <w:rPr>
          <w:rFonts w:ascii="Arial" w:hAnsi="Arial"/>
          <w:b/>
          <w:sz w:val="28"/>
        </w:rPr>
        <w:t>IV. Aplicación al caso concreto y refutación de la motivación de la autoridad.</w:t>
      </w:r>
    </w:p>
    <w:p>
      <w:pPr>
        <w:spacing w:line="360" w:lineRule="auto"/>
        <w:jc w:val="both"/>
      </w:pPr>
      <w:r>
        <w:rPr>
          <w:rFonts w:ascii="Arial" w:hAnsi="Arial"/>
          <w:b w:val="0"/>
          <w:i w:val="0"/>
          <w:sz w:val="28"/>
        </w:rPr>
        <w:t xml:space="preserve">Los hechos encuadran en la premisa expuesta. En </w:t>
      </w:r>
      <w:r>
        <w:rPr>
          <w:rFonts w:ascii="Arial" w:hAnsi="Arial"/>
          <w:b/>
          <w:i w:val="0"/>
          <w:sz w:val="28"/>
        </w:rPr>
        <w:t>[FOJAS O APARTADO DE LA RESOLUCIÓN DONDE CONSTA LA ACTUALIZACIÓN]</w:t>
      </w:r>
      <w:r>
        <w:rPr>
          <w:rFonts w:ascii="Arial" w:hAnsi="Arial"/>
          <w:b w:val="0"/>
          <w:i w:val="0"/>
          <w:sz w:val="28"/>
        </w:rPr>
        <w:t xml:space="preserve"> la autoridad aplicó, para actualizar el </w:t>
      </w:r>
      <w:r>
        <w:rPr>
          <w:rFonts w:ascii="Arial" w:hAnsi="Arial"/>
          <w:b/>
          <w:i w:val="0"/>
          <w:sz w:val="28"/>
        </w:rPr>
        <w:t>[CONCEPTO DEL CRÉDITO FISCAL]</w:t>
      </w:r>
      <w:r>
        <w:rPr>
          <w:rFonts w:ascii="Arial" w:hAnsi="Arial"/>
          <w:b w:val="0"/>
          <w:i w:val="0"/>
          <w:sz w:val="28"/>
        </w:rPr>
        <w:t xml:space="preserve">, diversos índices, entre ellos el correspondiente a </w:t>
      </w:r>
      <w:r>
        <w:rPr>
          <w:rFonts w:ascii="Arial" w:hAnsi="Arial"/>
          <w:b/>
          <w:i w:val="0"/>
          <w:sz w:val="28"/>
        </w:rPr>
        <w:t>[MES Y AÑO DEL ÍNDICE]</w:t>
      </w:r>
      <w:r>
        <w:rPr>
          <w:rFonts w:ascii="Arial" w:hAnsi="Arial"/>
          <w:b w:val="0"/>
          <w:i w:val="0"/>
          <w:sz w:val="28"/>
        </w:rPr>
        <w:t xml:space="preserve">. Ese valor apareció en el Diario Oficial de la Federación el </w:t>
      </w:r>
      <w:r>
        <w:rPr>
          <w:rFonts w:ascii="Arial" w:hAnsi="Arial"/>
          <w:b/>
          <w:i w:val="0"/>
          <w:sz w:val="28"/>
        </w:rPr>
        <w:t>[FECHA DE PUBLICACIÓN DEL ÍNDICE EN EL DIARIO OFICIAL]</w:t>
      </w:r>
      <w:r>
        <w:rPr>
          <w:rFonts w:ascii="Arial" w:hAnsi="Arial"/>
          <w:b w:val="0"/>
          <w:i w:val="0"/>
          <w:sz w:val="28"/>
        </w:rPr>
        <w:t xml:space="preserve">, y el plazo para difundir los elementos de su cálculo venció el </w:t>
      </w:r>
      <w:r>
        <w:rPr>
          <w:rFonts w:ascii="Arial" w:hAnsi="Arial"/>
          <w:b/>
          <w:i w:val="0"/>
          <w:sz w:val="28"/>
        </w:rPr>
        <w:t>[FECHA LÍMITE PARA PUBLICAR EL PROCEDIMIENTO DE CÁLCULO]</w:t>
      </w:r>
      <w:r>
        <w:rPr>
          <w:rFonts w:ascii="Arial" w:hAnsi="Arial"/>
          <w:b w:val="0"/>
          <w:i w:val="0"/>
          <w:sz w:val="28"/>
        </w:rPr>
        <w:t>.</w:t>
      </w:r>
    </w:p>
    <w:p>
      <w:pPr>
        <w:spacing w:line="360" w:lineRule="auto"/>
        <w:jc w:val="both"/>
      </w:pPr>
      <w:r>
        <w:rPr>
          <w:rFonts w:ascii="Arial" w:hAnsi="Arial"/>
          <w:b w:val="0"/>
          <w:i w:val="0"/>
          <w:sz w:val="28"/>
        </w:rPr>
        <w:t xml:space="preserve">Sin embargo, en esa edición el Instituto Nacional de Estadística y Geografía no dio a conocer las ciudades, artículos, servicios, conceptos de consumo, ramas ni cotizaciones del índice; se limitó a informar que la publicación prevista en el último párrafo del artículo 20-Bis del código tributario se haría </w:t>
      </w:r>
      <w:r>
        <w:rPr>
          <w:rFonts w:ascii="Arial" w:hAnsi="Arial"/>
          <w:b w:val="0"/>
          <w:i/>
          <w:sz w:val="28"/>
        </w:rPr>
        <w:t>“en los próximos días del mes en curso”</w:t>
      </w:r>
      <w:r>
        <w:rPr>
          <w:rFonts w:ascii="Arial" w:hAnsi="Arial"/>
          <w:b w:val="0"/>
          <w:i w:val="0"/>
          <w:sz w:val="28"/>
        </w:rPr>
        <w:t xml:space="preserve">, y ésta, de haberse realizado, ocurrió hasta el </w:t>
      </w:r>
      <w:r>
        <w:rPr>
          <w:rFonts w:ascii="Arial" w:hAnsi="Arial"/>
          <w:b/>
          <w:i w:val="0"/>
          <w:sz w:val="28"/>
        </w:rPr>
        <w:t>[FECHA POSTERIOR EN QUE SE PUBLICÓ EL PROCEDIMIENTO, EN SU CASO]</w:t>
      </w:r>
      <w:r>
        <w:rPr>
          <w:rFonts w:ascii="Arial" w:hAnsi="Arial"/>
          <w:b w:val="0"/>
          <w:i w:val="0"/>
          <w:sz w:val="28"/>
        </w:rPr>
        <w:t>, fuera del término legal.</w:t>
      </w:r>
    </w:p>
    <w:p>
      <w:pPr>
        <w:spacing w:line="360" w:lineRule="auto"/>
        <w:jc w:val="both"/>
      </w:pPr>
      <w:r>
        <w:rPr>
          <w:rFonts w:ascii="Arial" w:hAnsi="Arial"/>
          <w:b w:val="0"/>
          <w:i w:val="0"/>
          <w:sz w:val="28"/>
        </w:rPr>
        <w:t xml:space="preserve">La misma irregularidad se repite con los demás índices empleados en la resolución, que se relacionan con iguales datos de mes, fecha de publicación, fecha límite y leyenda utilizada: </w:t>
      </w:r>
      <w:r>
        <w:rPr>
          <w:rFonts w:ascii="Arial" w:hAnsi="Arial"/>
          <w:b/>
          <w:i w:val="0"/>
          <w:sz w:val="28"/>
        </w:rPr>
        <w:t>[RELACIÓN DE LOS DEMÁS ÍNDICES CON LOS MISMOS DATOS]</w:t>
      </w:r>
      <w:r>
        <w:rPr>
          <w:rFonts w:ascii="Arial" w:hAnsi="Arial"/>
          <w:b w:val="0"/>
          <w:i w:val="0"/>
          <w:sz w:val="28"/>
        </w:rPr>
        <w:t>.</w:t>
      </w:r>
    </w:p>
    <w:p>
      <w:pPr>
        <w:spacing w:line="360" w:lineRule="auto"/>
        <w:jc w:val="both"/>
      </w:pPr>
      <w:r>
        <w:rPr>
          <w:rFonts w:ascii="Arial" w:hAnsi="Arial"/>
          <w:b w:val="0"/>
          <w:i w:val="0"/>
          <w:sz w:val="28"/>
        </w:rPr>
        <w:t xml:space="preserve">Esos hechos constan en ediciones del Diario Oficial de la Federación, que son de consulta pública y que esa Sala puede invocar como hechos notorios, en términos del primer párrafo del artículo 50 de la Ley Federal de Procedimiento Contencioso Administrativo; sin perjuicio de ello, se exhiben los ejemplares correspondientes como </w:t>
      </w:r>
      <w:r>
        <w:rPr>
          <w:rFonts w:ascii="Arial" w:hAnsi="Arial"/>
          <w:b/>
          <w:i w:val="0"/>
          <w:sz w:val="28"/>
        </w:rPr>
        <w:t>[NÚMERO DE LA PRUEBA DOCUMENTAL QUE CONTIENE LOS EJEMPLARES DEL DIARIO OFICIAL]</w:t>
      </w:r>
      <w:r>
        <w:rPr>
          <w:rFonts w:ascii="Arial" w:hAnsi="Arial"/>
          <w:b w:val="0"/>
          <w:i w:val="0"/>
          <w:sz w:val="28"/>
        </w:rPr>
        <w:t xml:space="preserve"> del capítulo de pruebas de esta demanda.</w:t>
      </w:r>
    </w:p>
    <w:p>
      <w:pPr>
        <w:spacing w:line="360" w:lineRule="auto"/>
        <w:jc w:val="both"/>
      </w:pPr>
      <w:r>
        <w:rPr>
          <w:rFonts w:ascii="Arial" w:hAnsi="Arial"/>
          <w:b w:val="0"/>
          <w:i w:val="0"/>
          <w:sz w:val="28"/>
        </w:rPr>
        <w:t>La subsunción es directa. La resolución actualizó el crédito con valores emitidos sin cumplir la condición de difusión que el código tributario impone, de manera que se dictó en contravención de las disposiciones aplicadas, hipótesis de la fracción IV del artículo 51 de la ley procesal; y, en cualquier caso, carece de una fundamentación válida en el rubro de actualizaciones, supuesto de la fracción II del mismo precepto.</w:t>
      </w:r>
    </w:p>
    <w:p>
      <w:pPr>
        <w:spacing w:line="360" w:lineRule="auto"/>
        <w:jc w:val="both"/>
      </w:pPr>
      <w:r>
        <w:rPr>
          <w:rFonts w:ascii="Arial" w:hAnsi="Arial"/>
          <w:b w:val="0"/>
          <w:i w:val="0"/>
          <w:sz w:val="28"/>
        </w:rPr>
        <w:t>El vicio, además, afecta las defensas de la parte actora y trasciende al sentido de la resolución, como lo exige esa fracción II: el monto actualizado es parte integrante del crédito exigido, y la imposibilidad de verificar los índices privó a la parte actora de la posibilidad de controvertir con datos la cifra que se le determinó. El defecto, lejos de quedarse en la redacción, se refleja peso por peso en la cantidad a pagar.</w:t>
      </w:r>
    </w:p>
    <w:p>
      <w:pPr>
        <w:spacing w:line="360" w:lineRule="auto"/>
        <w:jc w:val="both"/>
      </w:pPr>
      <w:r>
        <w:rPr>
          <w:rFonts w:ascii="Arial" w:hAnsi="Arial"/>
          <w:b w:val="0"/>
          <w:i w:val="0"/>
          <w:sz w:val="28"/>
        </w:rPr>
        <w:t>Es previsible que la autoridad sostenga, como ocurrió en el asunto ilustrativo, que para fundar debidamente el rubro de actualizaciones es innecesario citar en la resolución las fechas de publicación y el procedimiento seguido para obtener los valores del índice. Ese argumento incurre en la falacia de eludir la cuestión o ignoratio elenchi, que consiste en probar algo distinto de lo que se discute.</w:t>
      </w:r>
      <w:r>
        <w:rPr>
          <w:rFonts w:ascii="Arial" w:hAnsi="Arial"/>
          <w:vertAlign w:val="superscript"/>
        </w:rPr>
        <w:t>5</w:t>
      </w:r>
    </w:p>
    <w:p>
      <w:pPr>
        <w:spacing w:line="360" w:lineRule="auto"/>
        <w:jc w:val="both"/>
      </w:pPr>
      <w:r>
        <w:rPr>
          <w:rFonts w:ascii="Arial" w:hAnsi="Arial"/>
          <w:b w:val="0"/>
          <w:i w:val="0"/>
          <w:sz w:val="28"/>
        </w:rPr>
        <w:t>Lo que este concepto sostiene es que los índices aplicados se emitieron ilegalmente porque su método no se difundió en tiempo; en ningún pasaje reprocha a la resolución que omita transcribir ese método. Demostrar que el oficio no tenía que citar el procedimiento deja intacta la cuestión planteada, que es la legalidad de los valores mismos, y por ello esa defensa resulta inatendible frente a la litis efectivamente propuesta.</w:t>
      </w:r>
    </w:p>
    <w:p>
      <w:pPr>
        <w:spacing w:line="360" w:lineRule="auto"/>
        <w:jc w:val="both"/>
      </w:pPr>
      <w:r>
        <w:rPr>
          <w:rFonts w:ascii="Arial" w:hAnsi="Arial"/>
          <w:b w:val="0"/>
          <w:i w:val="0"/>
          <w:sz w:val="28"/>
        </w:rPr>
        <w:t>La misma defensa encierra la falacia del muñeco de paja, que ataca una tesis después de alterarla para debilitarla y vencerla con ventaja.</w:t>
      </w:r>
      <w:r>
        <w:rPr>
          <w:rFonts w:ascii="Arial" w:hAnsi="Arial"/>
          <w:vertAlign w:val="superscript"/>
        </w:rPr>
        <w:t>6</w:t>
      </w:r>
      <w:r>
        <w:rPr>
          <w:rFonts w:ascii="Arial" w:hAnsi="Arial"/>
          <w:b w:val="0"/>
          <w:i w:val="0"/>
          <w:sz w:val="28"/>
        </w:rPr>
        <w:t xml:space="preserve"> Convertir el planteamiento en una exigencia de mayor fundamentación formal permite a la autoridad refutar con facilidad algo que la parte actora no afirmó, mientras deja sin respuesta lo que sí afirmó: que el Instituto incumplió el plazo legal de difusión y que esa omisión vicia los valores aplicados.</w:t>
      </w:r>
    </w:p>
    <w:p>
      <w:pPr>
        <w:spacing w:line="360" w:lineRule="auto"/>
        <w:jc w:val="both"/>
      </w:pPr>
      <w:r>
        <w:rPr>
          <w:rFonts w:ascii="Arial" w:hAnsi="Arial"/>
          <w:b w:val="0"/>
          <w:i w:val="0"/>
          <w:sz w:val="28"/>
        </w:rPr>
        <w:t>Tampoco es atendible la objeción de que la legalidad del procedimiento de cálculo no es atribuible a la autoridad fiscal. Que el vicio se haya originado en otro órgano no lo hace desaparecer: la autoridad demandada aplicó esos valores y los incorporó a su resolución, de suerte que el acto definitivo hereda la irregularidad de su presupuesto. Por eso, como se expuso en el planteamiento, el estudio procede aunque el Instituto no figure como autoridad demandada ni los índices como actos impugnados, pues la materia del juicio es la determinación que se sustentó en ellos, criterio que coincide con el del asunto ilustrativo.</w:t>
      </w:r>
    </w:p>
    <w:p>
      <w:pPr>
        <w:spacing w:line="360" w:lineRule="auto"/>
        <w:jc w:val="both"/>
      </w:pPr>
      <w:r>
        <w:rPr>
          <w:rFonts w:ascii="Arial" w:hAnsi="Arial"/>
          <w:b w:val="0"/>
          <w:i w:val="0"/>
          <w:sz w:val="28"/>
        </w:rPr>
        <w:t>Por último, no subsana la ilegalidad que los elementos del cálculo se hayan publicado días después. El plazo de diez días es común al índice y a su método para impedir que exista un periodo en que rija un valor inverificable; admitir la difusión tardía equivaldría a dejar el cumplimiento de la norma a la voluntad del obligado, resultado incompatible con la lectura armónica de ambos preceptos.</w:t>
      </w:r>
    </w:p>
    <w:p>
      <w:pPr>
        <w:spacing w:line="360" w:lineRule="auto"/>
        <w:jc w:val="both"/>
      </w:pPr>
      <w:r>
        <w:rPr>
          <w:rFonts w:ascii="Arial" w:hAnsi="Arial"/>
          <w:b/>
          <w:sz w:val="28"/>
        </w:rPr>
        <w:t>V. Conclusión y petición parcial.</w:t>
      </w:r>
    </w:p>
    <w:p>
      <w:pPr>
        <w:spacing w:line="360" w:lineRule="auto"/>
        <w:jc w:val="both"/>
      </w:pPr>
      <w:r>
        <w:rPr>
          <w:rFonts w:ascii="Arial" w:hAnsi="Arial"/>
          <w:b w:val="0"/>
          <w:i w:val="0"/>
          <w:sz w:val="28"/>
        </w:rPr>
        <w:t xml:space="preserve">En suma: la ley exige que el índice y los elementos de su cálculo se difundan dentro de los primeros diez días del mes siguiente al que corresponden; en las ediciones en que se publicaron los índices aplicados a la parte actora, el Instituto difirió esa difusión a </w:t>
      </w:r>
      <w:r>
        <w:rPr>
          <w:rFonts w:ascii="Arial" w:hAnsi="Arial"/>
          <w:b w:val="0"/>
          <w:i/>
          <w:sz w:val="28"/>
        </w:rPr>
        <w:t>“los próximos días del mes en curso”</w:t>
      </w:r>
      <w:r>
        <w:rPr>
          <w:rFonts w:ascii="Arial" w:hAnsi="Arial"/>
          <w:b w:val="0"/>
          <w:i w:val="0"/>
          <w:sz w:val="28"/>
        </w:rPr>
        <w:t>; y la autoridad actualizó el crédito con esos valores. La resolución descansa, en ese rubro, en un presupuesto ilegal.</w:t>
      </w:r>
    </w:p>
    <w:p>
      <w:pPr>
        <w:spacing w:line="360" w:lineRule="auto"/>
        <w:jc w:val="both"/>
      </w:pPr>
      <w:r>
        <w:rPr>
          <w:rFonts w:ascii="Arial" w:hAnsi="Arial"/>
          <w:b w:val="0"/>
          <w:i w:val="0"/>
          <w:sz w:val="28"/>
        </w:rPr>
        <w:t>Por lo expuesto, procede declarar fundado este concepto y decretar la nulidad de la resolución impugnada con fundamento en los artículos 51, fracción IV o, en su defecto, fracción II, y 52 de la Ley Federal de Procedimiento Contencioso Administrativo.</w:t>
      </w:r>
    </w:p>
    <w:p>
      <w:pPr>
        <w:spacing w:line="360" w:lineRule="auto"/>
        <w:jc w:val="both"/>
      </w:pPr>
      <w:r>
        <w:rPr>
          <w:rFonts w:ascii="Arial" w:hAnsi="Arial"/>
          <w:b w:val="0"/>
          <w:i w:val="0"/>
          <w:sz w:val="28"/>
        </w:rPr>
        <w:t>Si esa Sala estima, como en el asunto ilustrativo, que el acto deriva de facultades discrecionales y que la nulidad debe ser para efectos, en términos de la fracción IV del citado artículo 52, se solicita precisar que, en caso de emitir una nueva resolución, la autoridad deberá abstenerse de actualizar el crédito con los índices cuyo procedimiento de cálculo no se publicó oportunamente.</w:t>
      </w:r>
    </w:p>
    <w:p>
      <w:pPr>
        <w:spacing w:line="360" w:lineRule="auto"/>
        <w:jc w:val="both"/>
      </w:pPr>
      <w:r>
        <w:rPr>
          <w:rFonts w:ascii="Arial" w:hAnsi="Arial"/>
          <w:b w:val="0"/>
          <w:i w:val="0"/>
          <w:sz w:val="28"/>
        </w:rPr>
        <w:t>Finalmente, si en esta demanda se hacen valer otras causales que puedan conducir a la nulidad lisa y llana, se solicita que se examinen en primer término, conforme al segundo párrafo del artículo 50 de la ley procesal, pues el presente concepto se orienta a corregir la cuantificación del adeudo y su estudio procede si aquéllas no prosperan.</w:t>
      </w:r>
    </w:p>
    <w:p/>
    <w:p>
      <w:r>
        <w:rPr>
          <w:rFonts w:ascii="Arial" w:hAnsi="Arial"/>
          <w:b/>
          <w:sz w:val="22"/>
        </w:rPr>
        <w:t>NOTAS</w:t>
      </w:r>
    </w:p>
    <w:p>
      <w:pPr>
        <w:spacing w:after="60"/>
        <w:ind w:left="360" w:hanging="360"/>
        <w:jc w:val="both"/>
      </w:pPr>
      <w:r>
        <w:rPr>
          <w:rFonts w:ascii="Arial" w:hAnsi="Arial"/>
          <w:sz w:val="20"/>
          <w:vertAlign w:val="superscript"/>
        </w:rPr>
        <w:t>1</w:t>
      </w:r>
      <w:r>
        <w:rPr>
          <w:sz w:val="20"/>
        </w:rPr>
        <w:t xml:space="preserve"> </w:t>
      </w:r>
      <w:r>
        <w:rPr>
          <w:rFonts w:ascii="Arial" w:hAnsi="Arial"/>
          <w:i w:val="0"/>
          <w:sz w:val="20"/>
        </w:rPr>
        <w:t xml:space="preserve">FERRER MAC-GREGOR, Eduardo et al. (coord.), </w:t>
      </w:r>
      <w:r>
        <w:rPr>
          <w:rFonts w:ascii="Arial" w:hAnsi="Arial"/>
          <w:i/>
          <w:sz w:val="20"/>
        </w:rPr>
        <w:t>Diccionario de derecho procesal constitucional y convencional. Tomo II</w:t>
      </w:r>
      <w:r>
        <w:rPr>
          <w:rFonts w:ascii="Arial" w:hAnsi="Arial"/>
          <w:i w:val="0"/>
          <w:sz w:val="20"/>
        </w:rPr>
        <w:t>, 3ª ed., Universidad Nacional Autónoma de México, Instituto de Investigaciones Jurídicas; Instituto de Estudios Constitucionales del Estado de Querétaro, México, 2021, p. 1143.</w:t>
      </w:r>
    </w:p>
    <w:p>
      <w:pPr>
        <w:spacing w:after="60"/>
        <w:ind w:left="360" w:hanging="360"/>
        <w:jc w:val="both"/>
      </w:pPr>
      <w:r>
        <w:rPr>
          <w:rFonts w:ascii="Arial" w:hAnsi="Arial"/>
          <w:sz w:val="20"/>
          <w:vertAlign w:val="superscript"/>
        </w:rPr>
        <w:t>2</w:t>
      </w:r>
      <w:r>
        <w:rPr>
          <w:sz w:val="20"/>
        </w:rPr>
        <w:t xml:space="preserve"> </w:t>
      </w:r>
      <w:r>
        <w:rPr>
          <w:rFonts w:ascii="Arial" w:hAnsi="Arial"/>
          <w:i w:val="0"/>
          <w:sz w:val="20"/>
        </w:rPr>
        <w:t xml:space="preserve">GOMETZ, Gianmarco, </w:t>
      </w:r>
      <w:r>
        <w:rPr>
          <w:rFonts w:ascii="Arial" w:hAnsi="Arial"/>
          <w:i/>
          <w:sz w:val="20"/>
        </w:rPr>
        <w:t>La certeza jurídica como previsibilidad</w:t>
      </w:r>
      <w:r>
        <w:rPr>
          <w:rFonts w:ascii="Arial" w:hAnsi="Arial"/>
          <w:i w:val="0"/>
          <w:sz w:val="20"/>
        </w:rPr>
        <w:t>, trad. de Diego Moreno Cruz y Diego Dei Vecchi, Marcial Pons, Madrid, 2012, p. 222.</w:t>
      </w:r>
    </w:p>
    <w:p>
      <w:pPr>
        <w:spacing w:after="60"/>
        <w:ind w:left="360" w:hanging="360"/>
        <w:jc w:val="both"/>
      </w:pPr>
      <w:r>
        <w:rPr>
          <w:rFonts w:ascii="Arial" w:hAnsi="Arial"/>
          <w:sz w:val="20"/>
          <w:vertAlign w:val="superscript"/>
        </w:rPr>
        <w:t>3</w:t>
      </w:r>
      <w:r>
        <w:rPr>
          <w:sz w:val="20"/>
        </w:rPr>
        <w:t xml:space="preserve"> </w:t>
      </w:r>
      <w:r>
        <w:rPr>
          <w:rFonts w:ascii="Arial" w:hAnsi="Arial"/>
          <w:i w:val="0"/>
          <w:sz w:val="20"/>
        </w:rPr>
        <w:t xml:space="preserve">GÓMORA JUÁREZ, Sandra, </w:t>
      </w:r>
      <w:r>
        <w:rPr>
          <w:rFonts w:ascii="Arial" w:hAnsi="Arial"/>
          <w:i/>
          <w:sz w:val="20"/>
        </w:rPr>
        <w:t>Un análisis conceptual del precedente judicial</w:t>
      </w:r>
      <w:r>
        <w:rPr>
          <w:rFonts w:ascii="Arial" w:hAnsi="Arial"/>
          <w:i w:val="0"/>
          <w:sz w:val="20"/>
        </w:rPr>
        <w:t>, Universidad Nacional Autónoma de México, Instituto de Investigaciones Jurídicas, México, 2018, p. 220.</w:t>
      </w:r>
    </w:p>
    <w:p>
      <w:pPr>
        <w:spacing w:after="60"/>
        <w:ind w:left="360" w:hanging="360"/>
        <w:jc w:val="both"/>
      </w:pPr>
      <w:r>
        <w:rPr>
          <w:rFonts w:ascii="Arial" w:hAnsi="Arial"/>
          <w:sz w:val="20"/>
          <w:vertAlign w:val="superscript"/>
        </w:rPr>
        <w:t>4</w:t>
      </w:r>
      <w:r>
        <w:rPr>
          <w:sz w:val="20"/>
        </w:rPr>
        <w:t xml:space="preserve"> </w:t>
      </w:r>
      <w:r>
        <w:rPr>
          <w:rFonts w:ascii="Arial" w:hAnsi="Arial"/>
          <w:i w:val="0"/>
          <w:sz w:val="20"/>
        </w:rPr>
        <w:t xml:space="preserve">SÁNCHEZ GIL, Rubén, </w:t>
      </w:r>
      <w:r>
        <w:rPr>
          <w:rFonts w:ascii="Arial" w:hAnsi="Arial"/>
          <w:i/>
          <w:sz w:val="20"/>
        </w:rPr>
        <w:t>El principio de proporcionalidad</w:t>
      </w:r>
      <w:r>
        <w:rPr>
          <w:rFonts w:ascii="Arial" w:hAnsi="Arial"/>
          <w:i w:val="0"/>
          <w:sz w:val="20"/>
        </w:rPr>
        <w:t>, Universidad Nacional Autónoma de México, México, 2007, p. 68.</w:t>
      </w:r>
    </w:p>
    <w:p>
      <w:pPr>
        <w:spacing w:after="60"/>
        <w:ind w:left="360" w:hanging="360"/>
        <w:jc w:val="both"/>
      </w:pPr>
      <w:r>
        <w:rPr>
          <w:rFonts w:ascii="Arial" w:hAnsi="Arial"/>
          <w:sz w:val="20"/>
          <w:vertAlign w:val="superscript"/>
        </w:rPr>
        <w:t>5</w:t>
      </w:r>
      <w:r>
        <w:rPr>
          <w:sz w:val="20"/>
        </w:rPr>
        <w:t xml:space="preserve"> </w:t>
      </w:r>
      <w:r>
        <w:rPr>
          <w:rFonts w:ascii="Arial" w:hAnsi="Arial"/>
          <w:i w:val="0"/>
          <w:sz w:val="20"/>
        </w:rPr>
        <w:t xml:space="preserve">GARCÍA DAMBORENEA, Ricardo, </w:t>
      </w:r>
      <w:r>
        <w:rPr>
          <w:rFonts w:ascii="Arial" w:hAnsi="Arial"/>
          <w:i/>
          <w:sz w:val="20"/>
        </w:rPr>
        <w:t>Diccionario de falacias</w:t>
      </w:r>
      <w:r>
        <w:rPr>
          <w:rFonts w:ascii="Arial" w:hAnsi="Arial"/>
          <w:i w:val="0"/>
          <w:sz w:val="20"/>
        </w:rPr>
        <w:t>, s. f., p. 38.</w:t>
      </w:r>
    </w:p>
    <w:p>
      <w:pPr>
        <w:spacing w:after="60"/>
        <w:ind w:left="360" w:hanging="360"/>
        <w:jc w:val="both"/>
      </w:pPr>
      <w:r>
        <w:rPr>
          <w:rFonts w:ascii="Arial" w:hAnsi="Arial"/>
          <w:sz w:val="20"/>
          <w:vertAlign w:val="superscript"/>
        </w:rPr>
        <w:t>6</w:t>
      </w:r>
      <w:r>
        <w:rPr>
          <w:sz w:val="20"/>
        </w:rPr>
        <w:t xml:space="preserve"> </w:t>
      </w:r>
      <w:r>
        <w:rPr>
          <w:rFonts w:ascii="Arial" w:hAnsi="Arial"/>
          <w:i w:val="0"/>
          <w:sz w:val="20"/>
        </w:rPr>
        <w:t>GARCÍA DAMBORENEA, op. cit.</w:t>
      </w:r>
      <w:r>
        <w:rPr>
          <w:rFonts w:ascii="Arial" w:hAnsi="Arial"/>
          <w:i w:val="0"/>
          <w:sz w:val="20"/>
        </w:rPr>
        <w:t>, p. 60.</w:t>
      </w:r>
    </w:p>
    <w:p/>
    <w:p>
      <w:r>
        <w:rPr>
          <w:rFonts w:ascii="Arial" w:hAnsi="Arial"/>
          <w:b/>
          <w:sz w:val="22"/>
        </w:rPr>
        <w:t>BIBLIOGRAFÍA</w:t>
      </w:r>
    </w:p>
    <w:p>
      <w:pPr>
        <w:spacing w:after="60"/>
        <w:ind w:left="360" w:hanging="360"/>
        <w:jc w:val="both"/>
      </w:pPr>
      <w:r>
        <w:rPr>
          <w:rFonts w:ascii="Arial" w:hAnsi="Arial"/>
          <w:i w:val="0"/>
          <w:sz w:val="20"/>
        </w:rPr>
        <w:t xml:space="preserve">FERRER MAC-GREGOR, Eduardo et al. (coord.), </w:t>
      </w:r>
      <w:r>
        <w:rPr>
          <w:rFonts w:ascii="Arial" w:hAnsi="Arial"/>
          <w:i/>
          <w:sz w:val="20"/>
        </w:rPr>
        <w:t>Diccionario de derecho procesal constitucional y convencional. Tomo II</w:t>
      </w:r>
      <w:r>
        <w:rPr>
          <w:rFonts w:ascii="Arial" w:hAnsi="Arial"/>
          <w:i w:val="0"/>
          <w:sz w:val="20"/>
        </w:rPr>
        <w:t>, 3ª ed., Universidad Nacional Autónoma de México, Instituto de Investigaciones Jurídicas; Instituto de Estudios Constitucionales del Estado de Querétaro, México, 2021.</w:t>
      </w:r>
    </w:p>
    <w:p>
      <w:pPr>
        <w:spacing w:after="60"/>
        <w:ind w:left="360" w:hanging="360"/>
        <w:jc w:val="both"/>
      </w:pPr>
      <w:r>
        <w:rPr>
          <w:rFonts w:ascii="Arial" w:hAnsi="Arial"/>
          <w:i w:val="0"/>
          <w:sz w:val="20"/>
        </w:rPr>
        <w:t xml:space="preserve">GARCÍA DAMBORENEA, Ricardo, </w:t>
      </w:r>
      <w:r>
        <w:rPr>
          <w:rFonts w:ascii="Arial" w:hAnsi="Arial"/>
          <w:i/>
          <w:sz w:val="20"/>
        </w:rPr>
        <w:t>Diccionario de falacias</w:t>
      </w:r>
      <w:r>
        <w:rPr>
          <w:rFonts w:ascii="Arial" w:hAnsi="Arial"/>
          <w:i w:val="0"/>
          <w:sz w:val="20"/>
        </w:rPr>
        <w:t>, s. f.</w:t>
      </w:r>
    </w:p>
    <w:p>
      <w:pPr>
        <w:spacing w:after="60"/>
        <w:ind w:left="360" w:hanging="360"/>
        <w:jc w:val="both"/>
      </w:pPr>
      <w:r>
        <w:rPr>
          <w:rFonts w:ascii="Arial" w:hAnsi="Arial"/>
          <w:i w:val="0"/>
          <w:sz w:val="20"/>
        </w:rPr>
        <w:t xml:space="preserve">GOMETZ, Gianmarco, </w:t>
      </w:r>
      <w:r>
        <w:rPr>
          <w:rFonts w:ascii="Arial" w:hAnsi="Arial"/>
          <w:i/>
          <w:sz w:val="20"/>
        </w:rPr>
        <w:t>La certeza jurídica como previsibilidad</w:t>
      </w:r>
      <w:r>
        <w:rPr>
          <w:rFonts w:ascii="Arial" w:hAnsi="Arial"/>
          <w:i w:val="0"/>
          <w:sz w:val="20"/>
        </w:rPr>
        <w:t>, trad. de Diego Moreno Cruz y Diego Dei Vecchi, Marcial Pons, Madrid, 2012.</w:t>
      </w:r>
    </w:p>
    <w:p>
      <w:pPr>
        <w:spacing w:after="60"/>
        <w:ind w:left="360" w:hanging="360"/>
        <w:jc w:val="both"/>
      </w:pPr>
      <w:r>
        <w:rPr>
          <w:rFonts w:ascii="Arial" w:hAnsi="Arial"/>
          <w:i w:val="0"/>
          <w:sz w:val="20"/>
        </w:rPr>
        <w:t xml:space="preserve">GÓMORA JUÁREZ, Sandra, </w:t>
      </w:r>
      <w:r>
        <w:rPr>
          <w:rFonts w:ascii="Arial" w:hAnsi="Arial"/>
          <w:i/>
          <w:sz w:val="20"/>
        </w:rPr>
        <w:t>Un análisis conceptual del precedente judicial</w:t>
      </w:r>
      <w:r>
        <w:rPr>
          <w:rFonts w:ascii="Arial" w:hAnsi="Arial"/>
          <w:i w:val="0"/>
          <w:sz w:val="20"/>
        </w:rPr>
        <w:t>, Universidad Nacional Autónoma de México, Instituto de Investigaciones Jurídicas, México, 2018.</w:t>
      </w:r>
    </w:p>
    <w:p>
      <w:pPr>
        <w:spacing w:after="60"/>
        <w:ind w:left="360" w:hanging="360"/>
        <w:jc w:val="both"/>
      </w:pPr>
      <w:r>
        <w:rPr>
          <w:rFonts w:ascii="Arial" w:hAnsi="Arial"/>
          <w:i w:val="0"/>
          <w:sz w:val="20"/>
        </w:rPr>
        <w:t xml:space="preserve">SÁNCHEZ GIL, Rubén, </w:t>
      </w:r>
      <w:r>
        <w:rPr>
          <w:rFonts w:ascii="Arial" w:hAnsi="Arial"/>
          <w:i/>
          <w:sz w:val="20"/>
        </w:rPr>
        <w:t>El principio de proporcionalidad</w:t>
      </w:r>
      <w:r>
        <w:rPr>
          <w:rFonts w:ascii="Arial" w:hAnsi="Arial"/>
          <w:i w:val="0"/>
          <w:sz w:val="20"/>
        </w:rPr>
        <w:t>, Universidad Nacional Autónoma de México, México, 2007.</w:t>
      </w:r>
    </w:p>
    <w:sectPr w:rsidR="00FC693F" w:rsidRPr="0006063C" w:rsidSect="00034616">
      <w:footerReference w:type="default" r:id="rId9"/>
      <w:pgSz w:w="12246" w:h="19276"/>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20"/>
      </w:rPr>
      <w:t xml:space="preserve">Página </w:t>
    </w:r>
    <w:r>
      <w:rPr>
        <w:rFonts w:ascii="Arial" w:hAnsi="Arial"/>
        <w:sz w:val="20"/>
      </w:rPr>
      <w:fldChar w:fldCharType="begin"/>
      <w:instrText xml:space="preserve">PAGE</w:instrText>
      <w:fldChar w:fldCharType="end"/>
    </w:r>
    <w:r>
      <w:rPr>
        <w:rFonts w:ascii="Arial" w:hAnsi="Arial"/>
        <w:sz w:val="20"/>
      </w:rPr>
      <w:t xml:space="preserve"> de </w:t>
    </w:r>
    <w:r>
      <w:rPr>
        <w:rFonts w:ascii="Arial" w:hAnsi="Arial"/>
        <w:sz w:val="20"/>
      </w:rPr>
      <w:fldChar w:fldCharType="begin"/>
      <w:instrText xml:space="preserve">NUMPAGES</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DocSecurity>0</DocSecurity>
  <ScaleCrop>false</ScaleCrop>
  <LinksUpToDate>false</LinksUpToDate>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category/>
</cp:coreProperties>
</file>