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DEVOLUCIÓN DE DERECHOS DE INSPECCIÓN Y VIGILANCIA DE LA CNBV PAGADOS POR UNA SOFOM ENR</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Antes de llenar los campos reúne tres documentos: el comprobante de entero de los derechos del ejercicio que reclamas, el acuse de la solicitud de devolución y el oficio que la negó; ofrécelos en el capítulo de pruebas, porque la condena a devolver depende de que el pago indebido quede acreditado en el juicio.</w:t>
      </w:r>
    </w:p>
    <w:p>
      <w:pPr>
        <w:spacing w:line="360" w:lineRule="auto"/>
        <w:jc w:val="both"/>
      </w:pPr>
      <w:r>
        <w:rPr>
          <w:rFonts w:ascii="Arial" w:hAnsi="Arial"/>
          <w:b w:val="0"/>
          <w:i w:val="0"/>
          <w:sz w:val="24"/>
        </w:rPr>
        <w:t>Verifica en el Semanario Judicial de la Federación que la jurisprudencia del Pleno que sostiene el criterio siga vigente (la sentencia que inspira el machote la identifica como una jurisprudencia del Pleno derivada de una contradicción de tesis, cuyo rubro se refiere a la supervisión de los centros cambiarios, transmisores de dinero y SOFOM ENR por la CNBV y a la cuota del artículo 29-E, fracción VII) y sólo entonces inserta sus datos en el campo correspondiente. Si reclamas varios ejercicios, repite el concepto por cada resolución impugnada o adapta los campos para enumerarlos.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[NÚMERO DE OFICIO DE LA RESOLUCIÓN IMPUGNADA]</w:t>
      </w:r>
      <w:r>
        <w:rPr>
          <w:rFonts w:ascii="Arial" w:hAnsi="Arial"/>
          <w:b w:val="0"/>
          <w:i w:val="0"/>
          <w:sz w:val="24"/>
        </w:rPr>
        <w:t>: el número exacto del oficio que negó la devolución.</w:t>
      </w:r>
    </w:p>
    <w:p>
      <w:pPr>
        <w:spacing w:line="360" w:lineRule="auto"/>
        <w:jc w:val="both"/>
      </w:pPr>
      <w:r>
        <w:rPr>
          <w:rFonts w:ascii="Arial" w:hAnsi="Arial"/>
          <w:b/>
          <w:i w:val="0"/>
          <w:sz w:val="24"/>
        </w:rPr>
        <w:t>[AUTORIDAD DEMANDADA]</w:t>
      </w:r>
      <w:r>
        <w:rPr>
          <w:rFonts w:ascii="Arial" w:hAnsi="Arial"/>
          <w:b w:val="0"/>
          <w:i w:val="0"/>
          <w:sz w:val="24"/>
        </w:rPr>
        <w:t>: la unidad administrativa del SAT que emitió la negativa, con su denominación completa.</w:t>
      </w:r>
    </w:p>
    <w:p>
      <w:pPr>
        <w:spacing w:line="360" w:lineRule="auto"/>
        <w:jc w:val="both"/>
      </w:pPr>
      <w:r>
        <w:rPr>
          <w:rFonts w:ascii="Arial" w:hAnsi="Arial"/>
          <w:b/>
          <w:i w:val="0"/>
          <w:sz w:val="24"/>
        </w:rPr>
        <w:t>[NOMBRE DE LA PARTE ACTORA]</w:t>
      </w:r>
      <w:r>
        <w:rPr>
          <w:rFonts w:ascii="Arial" w:hAnsi="Arial"/>
          <w:b w:val="0"/>
          <w:i w:val="0"/>
          <w:sz w:val="24"/>
        </w:rPr>
        <w:t>: denominación de la SOFOM ENR, centro cambiario o transmisor de dinero solicitante.</w:t>
      </w:r>
    </w:p>
    <w:p>
      <w:pPr>
        <w:spacing w:line="360" w:lineRule="auto"/>
        <w:jc w:val="both"/>
      </w:pPr>
      <w:r>
        <w:rPr>
          <w:rFonts w:ascii="Arial" w:hAnsi="Arial"/>
          <w:b/>
          <w:i w:val="0"/>
          <w:sz w:val="24"/>
        </w:rPr>
        <w:t>[MONTO PAGADO POR DERECHOS DE INSPECCIÓN Y VIGILANCIA]</w:t>
      </w:r>
      <w:r>
        <w:rPr>
          <w:rFonts w:ascii="Arial" w:hAnsi="Arial"/>
          <w:b w:val="0"/>
          <w:i w:val="0"/>
          <w:sz w:val="24"/>
        </w:rPr>
        <w:t>: cantidad enterada por el ejercicio reclamado, con número y letra.</w:t>
      </w:r>
    </w:p>
    <w:p>
      <w:pPr>
        <w:spacing w:line="360" w:lineRule="auto"/>
        <w:jc w:val="both"/>
      </w:pPr>
      <w:r>
        <w:rPr>
          <w:rFonts w:ascii="Arial" w:hAnsi="Arial"/>
          <w:b/>
          <w:i w:val="0"/>
          <w:sz w:val="24"/>
        </w:rPr>
        <w:t>[EJERCICIO FISCAL DEL PAGO]</w:t>
      </w:r>
      <w:r>
        <w:rPr>
          <w:rFonts w:ascii="Arial" w:hAnsi="Arial"/>
          <w:b w:val="0"/>
          <w:i w:val="0"/>
          <w:sz w:val="24"/>
        </w:rPr>
        <w:t>: el año al que corresponde la cuota pagada.</w:t>
      </w:r>
    </w:p>
    <w:p>
      <w:pPr>
        <w:spacing w:line="360" w:lineRule="auto"/>
        <w:jc w:val="both"/>
      </w:pPr>
      <w:r>
        <w:rPr>
          <w:rFonts w:ascii="Arial" w:hAnsi="Arial"/>
          <w:b/>
          <w:i w:val="0"/>
          <w:sz w:val="24"/>
        </w:rPr>
        <w:t>[FECHA DE EMISIÓN DE LA RESOLUCIÓN IMPUGNADA]</w:t>
      </w:r>
      <w:r>
        <w:rPr>
          <w:rFonts w:ascii="Arial" w:hAnsi="Arial"/>
          <w:b w:val="0"/>
          <w:i w:val="0"/>
          <w:sz w:val="24"/>
        </w:rPr>
        <w:t>: fecha del oficio de negativa.</w:t>
      </w:r>
    </w:p>
    <w:p>
      <w:pPr>
        <w:spacing w:line="360" w:lineRule="auto"/>
        <w:jc w:val="both"/>
      </w:pPr>
      <w:r>
        <w:rPr>
          <w:rFonts w:ascii="Arial" w:hAnsi="Arial"/>
          <w:b/>
          <w:i w:val="0"/>
          <w:sz w:val="24"/>
        </w:rPr>
        <w:t>[FECHA DE NOTIFICACIÓN DE LA RESOLUCIÓN IMPUGNADA]</w:t>
      </w:r>
      <w:r>
        <w:rPr>
          <w:rFonts w:ascii="Arial" w:hAnsi="Arial"/>
          <w:b w:val="0"/>
          <w:i w:val="0"/>
          <w:sz w:val="24"/>
        </w:rPr>
        <w:t>: fecha en que se notificó, incluido el buzón tributario; de ella corre el plazo de la demanda.</w:t>
      </w:r>
    </w:p>
    <w:p>
      <w:pPr>
        <w:spacing w:line="360" w:lineRule="auto"/>
        <w:jc w:val="both"/>
      </w:pPr>
      <w:r>
        <w:rPr>
          <w:rFonts w:ascii="Arial" w:hAnsi="Arial"/>
          <w:b/>
          <w:i w:val="0"/>
          <w:sz w:val="24"/>
        </w:rPr>
        <w:t>[NÚMERO DE FOLIO DE LA SOLICITUD DE DEVOLUCIÓN]</w:t>
      </w:r>
      <w:r>
        <w:rPr>
          <w:rFonts w:ascii="Arial" w:hAnsi="Arial"/>
          <w:b w:val="0"/>
          <w:i w:val="0"/>
          <w:sz w:val="24"/>
        </w:rPr>
        <w:t>: folio del trámite presentado ante el SAT.</w:t>
      </w:r>
    </w:p>
    <w:p>
      <w:pPr>
        <w:spacing w:line="360" w:lineRule="auto"/>
        <w:jc w:val="both"/>
      </w:pPr>
      <w:r>
        <w:rPr>
          <w:rFonts w:ascii="Arial" w:hAnsi="Arial"/>
          <w:b/>
          <w:i w:val="0"/>
          <w:sz w:val="24"/>
        </w:rPr>
        <w:t>[FECHA DE PRESENTACIÓN DE LA SOLICITUD DE DEVOLUCIÓN]</w:t>
      </w:r>
      <w:r>
        <w:rPr>
          <w:rFonts w:ascii="Arial" w:hAnsi="Arial"/>
          <w:b w:val="0"/>
          <w:i w:val="0"/>
          <w:sz w:val="24"/>
        </w:rPr>
        <w:t>: fecha del acuse de la solicitud.</w:t>
      </w:r>
    </w:p>
    <w:p>
      <w:pPr>
        <w:spacing w:line="360" w:lineRule="auto"/>
        <w:jc w:val="both"/>
      </w:pPr>
      <w:r>
        <w:rPr>
          <w:rFonts w:ascii="Arial" w:hAnsi="Arial"/>
          <w:b/>
          <w:i w:val="0"/>
          <w:sz w:val="24"/>
        </w:rPr>
        <w:t>[FECHA DE ENTERO DE LOS DERECHOS]</w:t>
      </w:r>
      <w:r>
        <w:rPr>
          <w:rFonts w:ascii="Arial" w:hAnsi="Arial"/>
          <w:b w:val="0"/>
          <w:i w:val="0"/>
          <w:sz w:val="24"/>
        </w:rPr>
        <w:t>: fecha en que se pagó la cuota; sirve para verificar que la obligación de devolver no haya prescrito.</w:t>
      </w:r>
    </w:p>
    <w:p>
      <w:pPr>
        <w:spacing w:line="360" w:lineRule="auto"/>
        <w:jc w:val="both"/>
      </w:pPr>
      <w:r>
        <w:rPr>
          <w:rFonts w:ascii="Arial" w:hAnsi="Arial"/>
          <w:b/>
          <w:i w:val="0"/>
          <w:sz w:val="24"/>
        </w:rPr>
        <w:t>[DATOS DE LOCALIZACIÓN DE LA JURISPRUDENCIA DEL PLENO SOBRE EL ARTÍCULO 29-E, FRACCIÓN VII]</w:t>
      </w:r>
      <w:r>
        <w:rPr>
          <w:rFonts w:ascii="Arial" w:hAnsi="Arial"/>
          <w:b w:val="0"/>
          <w:i w:val="0"/>
          <w:sz w:val="24"/>
        </w:rPr>
        <w:t>: clave, época, fuente y registro digital de la jurisprudencia, tomados del Semanario una vez confirmada su vigencia.</w:t>
      </w:r>
    </w:p>
    <w:p>
      <w:pPr>
        <w:spacing w:line="360" w:lineRule="auto"/>
        <w:jc w:val="both"/>
      </w:pPr>
      <w:r>
        <w:rPr>
          <w:rFonts w:ascii="Arial" w:hAnsi="Arial"/>
          <w:b/>
          <w:i w:val="0"/>
          <w:sz w:val="24"/>
        </w:rPr>
        <w:t>[FECHA DE INICIO DEL CÓMPUTO DE INTERESES CONFORME AL ARTÍCULO 22-A DEL CÓDIGO FISCAL DE LA FEDERACIÓN]</w:t>
      </w:r>
      <w:r>
        <w:rPr>
          <w:rFonts w:ascii="Arial" w:hAnsi="Arial"/>
          <w:b w:val="0"/>
          <w:i w:val="0"/>
          <w:sz w:val="24"/>
        </w:rPr>
        <w:t>: la fecha que ese precepto señala para tu supuesto; calcúlala con el texto vigente del artículo.</w:t>
      </w:r>
    </w:p>
    <w:p/>
    <w:p>
      <w:pPr>
        <w:spacing w:line="360" w:lineRule="auto"/>
        <w:jc w:val="both"/>
      </w:pPr>
      <w:r>
        <w:rPr>
          <w:rFonts w:ascii="Arial" w:hAnsi="Arial"/>
          <w:b/>
          <w:sz w:val="28"/>
        </w:rPr>
        <w:t>[NÚMERO ORDINAL DEL CONCEPTO] CONCEPTO DE IMPUGNACIÓN. Indebida fundamentación y motivación de fondo de la negativa de devolución. La resolución impugnada se sustenta únicamente en el artículo 29-E, fracción VII, de la Ley Federal de Derechos, cuyo cobro fue declarado inconstitucional por jurisprudencia del Pleno de la Suprema Corte de Justicia de la Nación; lo enterado es pago de lo indebido, se actualiza la causal del artículo 51, fracción IV, de la Ley Federal de Procedimiento Contencioso Administrativo y procede reconocer el derecho a la devolución conforme al artículo 52, fracción V, inciso a), de la misma ley.</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resolución contenida en el oficio </w:t>
      </w:r>
      <w:r>
        <w:rPr>
          <w:rFonts w:ascii="Arial" w:hAnsi="Arial"/>
          <w:b/>
          <w:i w:val="0"/>
          <w:sz w:val="28"/>
        </w:rPr>
        <w:t>[NÚMERO DE OFICIO DE LA RESOLUCIÓN IMPUGNADA]</w:t>
      </w:r>
      <w:r>
        <w:rPr>
          <w:rFonts w:ascii="Arial" w:hAnsi="Arial"/>
          <w:b w:val="0"/>
          <w:i w:val="0"/>
          <w:sz w:val="28"/>
        </w:rPr>
        <w:t xml:space="preserve">, emitida por la </w:t>
      </w:r>
      <w:r>
        <w:rPr>
          <w:rFonts w:ascii="Arial" w:hAnsi="Arial"/>
          <w:b/>
          <w:i w:val="0"/>
          <w:sz w:val="28"/>
        </w:rPr>
        <w:t>[AUTORIDAD DEMANDADA]</w:t>
      </w:r>
      <w:r>
        <w:rPr>
          <w:rFonts w:ascii="Arial" w:hAnsi="Arial"/>
          <w:b w:val="0"/>
          <w:i w:val="0"/>
          <w:sz w:val="28"/>
        </w:rPr>
        <w:t xml:space="preserve">, por la que se negó a </w:t>
      </w:r>
      <w:r>
        <w:rPr>
          <w:rFonts w:ascii="Arial" w:hAnsi="Arial"/>
          <w:b/>
          <w:i w:val="0"/>
          <w:sz w:val="28"/>
        </w:rPr>
        <w:t>[NOMBRE DE LA PARTE ACTORA]</w:t>
      </w:r>
      <w:r>
        <w:rPr>
          <w:rFonts w:ascii="Arial" w:hAnsi="Arial"/>
          <w:b w:val="0"/>
          <w:i w:val="0"/>
          <w:sz w:val="28"/>
        </w:rPr>
        <w:t xml:space="preserve"> la devolución de la cantidad de </w:t>
      </w:r>
      <w:r>
        <w:rPr>
          <w:rFonts w:ascii="Arial" w:hAnsi="Arial"/>
          <w:b/>
          <w:i w:val="0"/>
          <w:sz w:val="28"/>
        </w:rPr>
        <w:t>[MONTO PAGADO POR DERECHOS DE INSPECCIÓN Y VIGILANCIA]</w:t>
      </w:r>
      <w:r>
        <w:rPr>
          <w:rFonts w:ascii="Arial" w:hAnsi="Arial"/>
          <w:b w:val="0"/>
          <w:i w:val="0"/>
          <w:sz w:val="28"/>
        </w:rPr>
        <w:t xml:space="preserve">, enterada por concepto de derechos por los servicios de inspección y vigilancia de la Comisión Nacional Bancaria y de Valores correspondientes al ejercicio </w:t>
      </w:r>
      <w:r>
        <w:rPr>
          <w:rFonts w:ascii="Arial" w:hAnsi="Arial"/>
          <w:b/>
          <w:i w:val="0"/>
          <w:sz w:val="28"/>
        </w:rPr>
        <w:t>[EJERCICIO FISCAL DEL PAGO]</w:t>
      </w:r>
      <w:r>
        <w:rPr>
          <w:rFonts w:ascii="Arial" w:hAnsi="Arial"/>
          <w:b w:val="0"/>
          <w:i w:val="0"/>
          <w:sz w:val="28"/>
        </w:rPr>
        <w:t>, está indebidamente fundada y motivada en cuanto al fondo.</w:t>
      </w:r>
    </w:p>
    <w:p>
      <w:pPr>
        <w:spacing w:line="360" w:lineRule="auto"/>
        <w:jc w:val="both"/>
      </w:pPr>
      <w:r>
        <w:rPr>
          <w:rFonts w:ascii="Arial" w:hAnsi="Arial"/>
          <w:b w:val="0"/>
          <w:i w:val="0"/>
          <w:sz w:val="28"/>
        </w:rPr>
        <w:t>La demostración descansa en una cadena de tres eslabones. El primero es fáctico y consta en la propia resolución: la única razón de la negativa es que la parte actora, por ser una sociedad financiera de objeto múltiple, entidad no regulada, está obligada a pagar la cuota prevista en el artículo 29-E, fracción VII, de la Ley Federal de Derechos, vigente en el ejercicio de que se trata y a la fecha en que se resolvió la solicitud.</w:t>
      </w:r>
    </w:p>
    <w:p>
      <w:pPr>
        <w:spacing w:line="360" w:lineRule="auto"/>
        <w:jc w:val="both"/>
      </w:pPr>
      <w:r>
        <w:rPr>
          <w:rFonts w:ascii="Arial" w:hAnsi="Arial"/>
          <w:b w:val="0"/>
          <w:i w:val="0"/>
          <w:sz w:val="28"/>
        </w:rPr>
        <w:t>El segundo eslabón es normativo: el Pleno de la Suprema Corte de Justicia de la Nación estableció, en jurisprudencia obligatoria para este Tribunal, que la supervisión que la Comisión ejerce sobre esas sociedades para verificar el cumplimiento del artículo 95 Bis de la Ley General de Organizaciones y Actividades Auxiliares del Crédito es una función de derecho público inherente al Estado y no un servicio susceptible de generar el cobro de un derecho, de modo que la cuota carece, por sí misma, de sustento constitucional.</w:t>
      </w:r>
    </w:p>
    <w:p>
      <w:pPr>
        <w:spacing w:line="360" w:lineRule="auto"/>
        <w:jc w:val="both"/>
      </w:pPr>
      <w:r>
        <w:rPr>
          <w:rFonts w:ascii="Arial" w:hAnsi="Arial"/>
          <w:b w:val="0"/>
          <w:i w:val="0"/>
          <w:sz w:val="28"/>
        </w:rPr>
        <w:t>El tercero es la consecuencia: si la norma en que descansa la negativa no puede sostener válidamente el cobro, la cantidad enterada carece de causa legal y constituye pago de lo indebido, cuya devolución ordena el artículo 22 del Código Fiscal de la Federación. Se actualiza así la causal del artículo 51, fracción IV, de la Ley Federal de Procedimiento Contencioso Administrativo y, como este Tribunal cuenta con todos los elementos para pronunciarse sobre el fondo, procede reconocer el derecho subjetivo a la devolución y condenar a la autoridad conforme al artículo 52, fracción V, inciso a), del mismo ordenamiento.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la resolución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EMISIÓN DE LA RESOLUCIÓN IMPUGNADA]</w:t>
      </w:r>
      <w:r>
        <w:rPr>
          <w:rFonts w:ascii="Arial" w:hAnsi="Arial"/>
          <w:b w:val="0"/>
          <w:i w:val="0"/>
          <w:sz w:val="28"/>
        </w:rPr>
        <w:t xml:space="preserve">, notificada el </w:t>
      </w:r>
      <w:r>
        <w:rPr>
          <w:rFonts w:ascii="Arial" w:hAnsi="Arial"/>
          <w:b/>
          <w:i w:val="0"/>
          <w:sz w:val="28"/>
        </w:rPr>
        <w:t>[FECHA DE NOTIFICACIÓN DE LA RESOLUCIÓN IMPUGNADA]</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resolvió la solicitud de devolución con número de folio </w:t>
      </w:r>
      <w:r>
        <w:rPr>
          <w:rFonts w:ascii="Arial" w:hAnsi="Arial"/>
          <w:b/>
          <w:i w:val="0"/>
          <w:sz w:val="28"/>
        </w:rPr>
        <w:t>[NÚMERO DE FOLIO DE LA SOLICITUD DE DEVOLUCIÓN]</w:t>
      </w:r>
      <w:r>
        <w:rPr>
          <w:rFonts w:ascii="Arial" w:hAnsi="Arial"/>
          <w:b w:val="0"/>
          <w:i w:val="0"/>
          <w:sz w:val="28"/>
        </w:rPr>
        <w:t xml:space="preserve">, presentada el </w:t>
      </w:r>
      <w:r>
        <w:rPr>
          <w:rFonts w:ascii="Arial" w:hAnsi="Arial"/>
          <w:b/>
          <w:i w:val="0"/>
          <w:sz w:val="28"/>
        </w:rPr>
        <w:t>[FECHA DE PRESENTACIÓN DE LA SOLICITUD DE DEVOLUCIÓN]</w:t>
      </w:r>
      <w:r>
        <w:rPr>
          <w:rFonts w:ascii="Arial" w:hAnsi="Arial"/>
          <w:b w:val="0"/>
          <w:i w:val="0"/>
          <w:sz w:val="28"/>
        </w:rPr>
        <w:t>, en el sentido de negarla por estimar que no existe pago de lo indebido.</w:t>
      </w:r>
    </w:p>
    <w:p>
      <w:pPr>
        <w:spacing w:line="360" w:lineRule="auto"/>
        <w:jc w:val="both"/>
      </w:pPr>
      <w:r>
        <w:rPr>
          <w:rFonts w:ascii="Arial" w:hAnsi="Arial"/>
          <w:b w:val="0"/>
          <w:i w:val="0"/>
          <w:sz w:val="28"/>
        </w:rPr>
        <w:t>Las normas cuya inobservancia se plantea son el artículo 16, primer párrafo, de la Constitución Política de los Estados Unidos Mexicanos, que exige que todo acto de molestia funde y motive la causa legal del procedimiento; el artículo 22 del Código Fiscal de la Federación, que obliga a las autoridades fiscales a devolver las cantidades pagadas indebidamente; y el artículo 217, primer párrafo, de la Ley de Amparo, conforme al cual la jurisprudencia de la Suprema Corte de Justicia de la Nación es obligatoria para todas las autoridades jurisdiccionales de la Federación.</w:t>
      </w:r>
    </w:p>
    <w:p>
      <w:pPr>
        <w:spacing w:line="360" w:lineRule="auto"/>
        <w:jc w:val="both"/>
      </w:pPr>
      <w:r>
        <w:rPr>
          <w:rFonts w:ascii="Arial" w:hAnsi="Arial"/>
          <w:b w:val="0"/>
          <w:i w:val="0"/>
          <w:sz w:val="28"/>
        </w:rPr>
        <w:t xml:space="preserve">El perjuicio es patrimonial y actual: la parte actora enteró el </w:t>
      </w:r>
      <w:r>
        <w:rPr>
          <w:rFonts w:ascii="Arial" w:hAnsi="Arial"/>
          <w:b/>
          <w:i w:val="0"/>
          <w:sz w:val="28"/>
        </w:rPr>
        <w:t>[FECHA DE ENTERO DE LOS DERECHOS]</w:t>
      </w:r>
      <w:r>
        <w:rPr>
          <w:rFonts w:ascii="Arial" w:hAnsi="Arial"/>
          <w:b w:val="0"/>
          <w:i w:val="0"/>
          <w:sz w:val="28"/>
        </w:rPr>
        <w:t xml:space="preserve"> una cantidad que el Estado retiene sin título válido, y la negativa impugnada consolida esa retención y le priva, además, de la actualización y de los intereses que la ley asocia a la devolución tardía. De prosperar este concepto, el beneficio es el mayor que puede obtenerse en el juicio, pues no se pide que la autoridad vuelva a resolver, sino que se le condene a devolver.</w:t>
      </w:r>
    </w:p>
    <w:p>
      <w:pPr>
        <w:spacing w:line="360" w:lineRule="auto"/>
        <w:jc w:val="both"/>
      </w:pPr>
      <w:r>
        <w:rPr>
          <w:rFonts w:ascii="Arial" w:hAnsi="Arial"/>
          <w:b w:val="0"/>
          <w:i w:val="0"/>
          <w:sz w:val="28"/>
        </w:rPr>
        <w:t>Conviene precisar desde ahora el terreno del debate. No se solicita a esta Sala Regional que ejerza un control de constitucionalidad, ni se pidió a la autoridad demandada que desaplicara una ley por su propia decisión. Lo que se plantea es un problema de legalidad: la debida fundamentación de fondo de una resolución que debía dictarse aplicando una jurisprudencia obligatoria ya existente al momento en que se resolvió la solicitud, y que en lugar de ello se apoyó en un precepto que esa jurisprudencia privó de sustento.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La garantía del artículo 16, primer párrafo, constitucional no se agota en la cita de preceptos. Como recuerda la doctrina procesal al sistematizar los criterios mexicanos sobre la materia, fundar y motivar exige que los motivos invocados sean reales, ciertos y bastantes para producir el acto de autoridad conforme a los preceptos aplicables.</w:t>
      </w:r>
      <w:r>
        <w:rPr>
          <w:rFonts w:ascii="Arial" w:hAnsi="Arial"/>
          <w:vertAlign w:val="superscript"/>
        </w:rPr>
        <w:t>1</w:t>
      </w:r>
      <w:r>
        <w:rPr>
          <w:rFonts w:ascii="Arial" w:hAnsi="Arial"/>
          <w:b w:val="0"/>
          <w:i w:val="0"/>
          <w:sz w:val="28"/>
        </w:rPr>
        <w:t xml:space="preserve"> Ese es el aspecto que aquí se controvierte, el de fondo: una resolución puede citar un precepto y razonar sobre él, y aun así estar indebidamente fundada si ese precepto no puede regir el caso.</w:t>
      </w:r>
    </w:p>
    <w:p>
      <w:pPr>
        <w:spacing w:line="360" w:lineRule="auto"/>
        <w:jc w:val="both"/>
      </w:pPr>
      <w:r>
        <w:rPr>
          <w:rFonts w:ascii="Arial" w:hAnsi="Arial"/>
          <w:b w:val="0"/>
          <w:i w:val="0"/>
          <w:sz w:val="28"/>
        </w:rPr>
        <w:t>De ahí que la fundamentación no se satisfaga con la mera invocación de artículos: el precepto citado debe ser el aplicable al caso y debe existir adecuación entre los motivos aducidos y la norma, pues sólo así el destinatario puede defenderse de lo que realmente se le opone. Cuando el fundamento invocado es una disposición que no puede aplicarse, el vicio deja de ser una deficiencia formal subsanable y se convierte en un defecto de fondo.</w:t>
      </w:r>
    </w:p>
    <w:p>
      <w:pPr>
        <w:spacing w:line="360" w:lineRule="auto"/>
        <w:jc w:val="both"/>
      </w:pPr>
      <w:r>
        <w:rPr>
          <w:rFonts w:ascii="Arial" w:hAnsi="Arial"/>
          <w:b w:val="0"/>
          <w:i w:val="0"/>
          <w:sz w:val="28"/>
        </w:rPr>
        <w:t>Esa es precisamente la hipótesis que recoge el artículo 51, fracción IV, de la Ley Federal de Procedimiento Contencioso Administrativo, que contempla la ilegalidad de la resolución dictada en contravención de las disposiciones aplicadas o con omisión de las debidas, en cuanto al fondo del asunto. Como lo ha reconocido la Sala en casos análogos, si una negativa de devolución tiene como fundamento una disposición que no resulta aplicable al caso, carece de la debida fundamentación y motivación en cuanto al fondo y se actualiza esa causal.</w:t>
      </w:r>
    </w:p>
    <w:p>
      <w:pPr>
        <w:spacing w:line="360" w:lineRule="auto"/>
        <w:jc w:val="both"/>
      </w:pPr>
      <w:r>
        <w:rPr>
          <w:rFonts w:ascii="Arial" w:hAnsi="Arial"/>
          <w:b w:val="0"/>
          <w:i w:val="0"/>
          <w:sz w:val="28"/>
        </w:rPr>
        <w:t xml:space="preserve">El segundo elemento de la premisa mayor es la naturaleza del cobro. El artículo 29-E de la Ley Federal de Derechos dispone que las entidades que enumera pagarán </w:t>
      </w:r>
      <w:r>
        <w:rPr>
          <w:rFonts w:ascii="Arial" w:hAnsi="Arial"/>
          <w:b w:val="0"/>
          <w:i/>
          <w:sz w:val="28"/>
        </w:rPr>
        <w:t>«por los servicios de inspección y vigilancia que presta la Comisión Nacional Bancaria y de Valores»</w:t>
      </w:r>
      <w:r>
        <w:rPr>
          <w:rFonts w:ascii="Arial" w:hAnsi="Arial"/>
          <w:b w:val="0"/>
          <w:i w:val="0"/>
          <w:sz w:val="28"/>
        </w:rPr>
        <w:t xml:space="preserve"> las cuotas que señala, y su fracción VII incluye a cada sociedad del sector de centros cambiarios, transmisores de dinero o sociedades financieras de objeto múltiple no reguladas, que pagarán </w:t>
      </w:r>
      <w:r>
        <w:rPr>
          <w:rFonts w:ascii="Arial" w:hAnsi="Arial"/>
          <w:b w:val="0"/>
          <w:i/>
          <w:sz w:val="28"/>
        </w:rPr>
        <w:t>«por concepto de supervisión del cumplimiento de las disposiciones establecidas en el artículo 95 Bis»</w:t>
      </w:r>
      <w:r>
        <w:rPr>
          <w:rFonts w:ascii="Arial" w:hAnsi="Arial"/>
          <w:b w:val="0"/>
          <w:i w:val="0"/>
          <w:sz w:val="28"/>
        </w:rPr>
        <w:t xml:space="preserve"> de la Ley General de Organizaciones y Actividades Auxiliares del Crédito.</w:t>
      </w:r>
    </w:p>
    <w:p>
      <w:pPr>
        <w:spacing w:line="360" w:lineRule="auto"/>
        <w:jc w:val="both"/>
      </w:pPr>
      <w:r>
        <w:rPr>
          <w:rFonts w:ascii="Arial" w:hAnsi="Arial"/>
          <w:b w:val="0"/>
          <w:i w:val="0"/>
          <w:sz w:val="28"/>
        </w:rPr>
        <w:t xml:space="preserve">El Pleno de la Suprema Corte de Justicia de la Nación, en la jurisprudencia por contradicción identificada con los datos </w:t>
      </w:r>
      <w:r>
        <w:rPr>
          <w:rFonts w:ascii="Arial" w:hAnsi="Arial"/>
          <w:b/>
          <w:i w:val="0"/>
          <w:sz w:val="28"/>
        </w:rPr>
        <w:t>[DATOS DE LOCALIZACIÓN DE LA JURISPRUDENCIA DEL PLENO SOBRE EL ARTÍCULO 29-E, FRACCIÓN VII]</w:t>
      </w:r>
      <w:r>
        <w:rPr>
          <w:rFonts w:ascii="Arial" w:hAnsi="Arial"/>
          <w:b w:val="0"/>
          <w:i w:val="0"/>
          <w:sz w:val="28"/>
        </w:rPr>
        <w:t>, sostuvo que esa facultad de inspección y vigilancia es una función de derecho público inherente a las obligaciones del Estado, porque su fin es evitar delitos relacionados con operaciones con recursos de procedencia ilícita y financiamiento al terrorismo, labor que beneficia a todos los usuarios de los servicios financieros y no sólo a la entidad supervisada.</w:t>
      </w:r>
    </w:p>
    <w:p>
      <w:pPr>
        <w:spacing w:line="360" w:lineRule="auto"/>
        <w:jc w:val="both"/>
      </w:pPr>
      <w:r>
        <w:rPr>
          <w:rFonts w:ascii="Arial" w:hAnsi="Arial"/>
          <w:b w:val="0"/>
          <w:i w:val="0"/>
          <w:sz w:val="28"/>
        </w:rPr>
        <w:t>La consecuencia que el Pleno extrajo es doble. Por una parte, esa potestad no es un servicio público susceptible de generar el cobro de un derecho, de modo que la cuota del artículo 29-E, fracción VII, por sí misma no tiene sustento constitucional. Por otra, como la cantidad no deriva de un servicio sino de una facultad obligatoria del Estado, ni siquiera tiene la naturaleza de contribución en los términos del artículo 31, fracción IV, constitucional, y no puede someterse al escrutinio de proporcionalidad que rige a las contribuciones: no es un derecho desproporcionado, es un cobro sin causa.</w:t>
      </w:r>
    </w:p>
    <w:p>
      <w:pPr>
        <w:spacing w:line="360" w:lineRule="auto"/>
        <w:jc w:val="both"/>
      </w:pPr>
      <w:r>
        <w:rPr>
          <w:rFonts w:ascii="Arial" w:hAnsi="Arial"/>
          <w:b w:val="0"/>
          <w:i w:val="0"/>
          <w:sz w:val="28"/>
        </w:rPr>
        <w:t>Conviene subrayar el alcance exacto de ese pronunciamiento. El propio Pleno precisó que su conclusión no exime a esas sociedades de la revisión de la Comisión ni de las demás autoridades competentes: lo que carece de sustento constitucional es únicamente el pago de la cuota, no la supervisión. La parte actora no pretende sustraerse de ésta; pretende que se le restituya lo que pagó por ella sin causa.</w:t>
      </w:r>
    </w:p>
    <w:p>
      <w:pPr>
        <w:spacing w:line="360" w:lineRule="auto"/>
        <w:jc w:val="both"/>
      </w:pPr>
      <w:r>
        <w:rPr>
          <w:rFonts w:ascii="Arial" w:hAnsi="Arial"/>
          <w:b w:val="0"/>
          <w:i w:val="0"/>
          <w:sz w:val="28"/>
        </w:rPr>
        <w:t>El tercer elemento es la obligatoriedad de ese criterio. El artículo 217, primer párrafo, de la Ley de Amparo establece que la jurisprudencia de la Suprema Corte de Justicia de la Nación es obligatoria para todas las autoridades jurisdiccionales de la Federación y de las entidades federativas, con la sola excepción de la propia Corte. Este Tribunal es una autoridad jurisdiccional de la Federación; por tanto, al juzgar la legalidad de la negativa, no puede prescindir de la jurisprudencia ni tener por válido el fundamento que ella desautorizó.</w:t>
      </w:r>
    </w:p>
    <w:p>
      <w:pPr>
        <w:spacing w:line="360" w:lineRule="auto"/>
        <w:jc w:val="both"/>
      </w:pPr>
      <w:r>
        <w:rPr>
          <w:rFonts w:ascii="Arial" w:hAnsi="Arial"/>
          <w:b w:val="0"/>
          <w:i w:val="0"/>
          <w:sz w:val="28"/>
        </w:rPr>
        <w:t>La doctrina sobre el precedente explica el reparto que subyace a esta regla: en el sistema mexicano, únicamente los órganos judiciales tienen una obligación directa y real de obedecer la jurisprudencia, mientras que el resto de los órganos del Estado actúa con apego estricto a la ley positiva.</w:t>
      </w:r>
      <w:r>
        <w:rPr>
          <w:rFonts w:ascii="Arial" w:hAnsi="Arial"/>
          <w:vertAlign w:val="superscript"/>
        </w:rPr>
        <w:t>2</w:t>
      </w:r>
      <w:r>
        <w:rPr>
          <w:rFonts w:ascii="Arial" w:hAnsi="Arial"/>
          <w:b w:val="0"/>
          <w:i w:val="0"/>
          <w:sz w:val="28"/>
        </w:rPr>
        <w:t xml:space="preserve"> Esa distribución no beneficia a la autoridad demandada, sino que explica por qué la sede natural para hacer valer la jurisprudencia es este juicio: aquí quien juzga sí está obligado a aplicarla, y su aplicación conduce a examinar el derecho subjetivo en toda su extensión.</w:t>
      </w:r>
    </w:p>
    <w:p>
      <w:pPr>
        <w:spacing w:line="360" w:lineRule="auto"/>
        <w:jc w:val="both"/>
      </w:pPr>
      <w:r>
        <w:rPr>
          <w:rFonts w:ascii="Arial" w:hAnsi="Arial"/>
          <w:b w:val="0"/>
          <w:i w:val="0"/>
          <w:sz w:val="28"/>
        </w:rPr>
        <w:t>A ello se suma una distinción elemental de teoría de la norma. La doctrina constitucional entiende por vigencia la existencia positiva de una ley, y por validez su adecuación a la Constitución, tanto en el procedimiento de creación como en su contenido, y advierte la imposibilidad de asimilar ambas nociones.</w:t>
      </w:r>
      <w:r>
        <w:rPr>
          <w:rFonts w:ascii="Arial" w:hAnsi="Arial"/>
          <w:vertAlign w:val="superscript"/>
        </w:rPr>
        <w:t>3</w:t>
      </w:r>
      <w:r>
        <w:rPr>
          <w:rFonts w:ascii="Arial" w:hAnsi="Arial"/>
          <w:b w:val="0"/>
          <w:i w:val="0"/>
          <w:sz w:val="28"/>
        </w:rPr>
        <w:t xml:space="preserve"> Que el artículo 29-E, fracción VII, permanezca en el texto de la Ley Federal de Derechos sólo acredita que existe; no acredita que su cobro sea válido, y sobre esto último ya se pronunció, con carácter obligatorio, el Pleno de la Suprema Corte.</w:t>
      </w:r>
    </w:p>
    <w:p>
      <w:pPr>
        <w:spacing w:line="360" w:lineRule="auto"/>
        <w:jc w:val="both"/>
      </w:pPr>
      <w:r>
        <w:rPr>
          <w:rFonts w:ascii="Arial" w:hAnsi="Arial"/>
          <w:b w:val="0"/>
          <w:i w:val="0"/>
          <w:sz w:val="28"/>
        </w:rPr>
        <w:t>El cuarto elemento es la figura del pago de lo indebido. El artículo 22 del Código Fiscal de la Federación impone a las autoridades fiscales la obligación de devolver las cantidades pagadas indebidamente, y el propio código prevé que la devolución se efectúe con la actualización del artículo 17-A y, en su caso, con los intereses del artículo 22-A. Un entero realizado en cumplimiento de una norma cuyo cobro carece de sustento constitucional es un pago sin causa: el Estado recibió una cantidad que no tenía título para exigir, y la ley le ordena restituirla.</w:t>
      </w:r>
    </w:p>
    <w:p>
      <w:pPr>
        <w:spacing w:line="360" w:lineRule="auto"/>
        <w:jc w:val="both"/>
      </w:pPr>
      <w:r>
        <w:rPr>
          <w:rFonts w:ascii="Arial" w:hAnsi="Arial"/>
          <w:b w:val="0"/>
          <w:i w:val="0"/>
          <w:sz w:val="28"/>
        </w:rPr>
        <w:t>El quinto y último elemento es la plena jurisdicción de este Tribunal. El artículo 52, fracción V, inciso a), de la Ley Federal de Procedimiento Contencioso Administrativo faculta a la Sala para declarar la nulidad de la resolución impugnada y, además, reconocer a la parte actora la existencia de un derecho subjetivo y condenar al cumplimiento de la obligación correlativa.</w:t>
      </w:r>
    </w:p>
    <w:p>
      <w:pPr>
        <w:spacing w:line="360" w:lineRule="auto"/>
        <w:jc w:val="both"/>
      </w:pPr>
      <w:r>
        <w:rPr>
          <w:rFonts w:ascii="Arial" w:hAnsi="Arial"/>
          <w:b w:val="0"/>
          <w:i w:val="0"/>
          <w:sz w:val="28"/>
        </w:rPr>
        <w:t>Como lo ha reconocido la Sala en casos análogos, cuando la ilegalidad advertida fue el único motivo de la negativa y la autoridad nada demostró en contrario, no procede reenviar el asunto para que se resuelva de nuevo, pues ello contrariaría la finalidad de la plena jurisdicción, sino fijar el derecho y condenar, salvo que falten elementos para pronunciarse, lo que aquí no ocurre.</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encuadran con exactitud en la premisa expuesta. </w:t>
      </w:r>
      <w:r>
        <w:rPr>
          <w:rFonts w:ascii="Arial" w:hAnsi="Arial"/>
          <w:b/>
          <w:i w:val="0"/>
          <w:sz w:val="28"/>
        </w:rPr>
        <w:t>[NOMBRE DE LA PARTE ACTORA]</w:t>
      </w:r>
      <w:r>
        <w:rPr>
          <w:rFonts w:ascii="Arial" w:hAnsi="Arial"/>
          <w:b w:val="0"/>
          <w:i w:val="0"/>
          <w:sz w:val="28"/>
        </w:rPr>
        <w:t xml:space="preserve"> es una sociedad financiera de objeto múltiple, entidad no regulada, y en esa calidad enteró el </w:t>
      </w:r>
      <w:r>
        <w:rPr>
          <w:rFonts w:ascii="Arial" w:hAnsi="Arial"/>
          <w:b/>
          <w:i w:val="0"/>
          <w:sz w:val="28"/>
        </w:rPr>
        <w:t>[FECHA DE ENTERO DE LOS DERECHOS]</w:t>
      </w:r>
      <w:r>
        <w:rPr>
          <w:rFonts w:ascii="Arial" w:hAnsi="Arial"/>
          <w:b w:val="0"/>
          <w:i w:val="0"/>
          <w:sz w:val="28"/>
        </w:rPr>
        <w:t xml:space="preserve"> la cantidad de </w:t>
      </w:r>
      <w:r>
        <w:rPr>
          <w:rFonts w:ascii="Arial" w:hAnsi="Arial"/>
          <w:b/>
          <w:i w:val="0"/>
          <w:sz w:val="28"/>
        </w:rPr>
        <w:t>[MONTO PAGADO POR DERECHOS DE INSPECCIÓN Y VIGILANCIA]</w:t>
      </w:r>
      <w:r>
        <w:rPr>
          <w:rFonts w:ascii="Arial" w:hAnsi="Arial"/>
          <w:b w:val="0"/>
          <w:i w:val="0"/>
          <w:sz w:val="28"/>
        </w:rPr>
        <w:t xml:space="preserve"> por concepto de derechos por los servicios de inspección y vigilancia de la Comisión Nacional Bancaria y de Valores del ejercicio </w:t>
      </w:r>
      <w:r>
        <w:rPr>
          <w:rFonts w:ascii="Arial" w:hAnsi="Arial"/>
          <w:b/>
          <w:i w:val="0"/>
          <w:sz w:val="28"/>
        </w:rPr>
        <w:t>[EJERCICIO FISCAL DEL PAGO]</w:t>
      </w:r>
      <w:r>
        <w:rPr>
          <w:rFonts w:ascii="Arial" w:hAnsi="Arial"/>
          <w:b w:val="0"/>
          <w:i w:val="0"/>
          <w:sz w:val="28"/>
        </w:rPr>
        <w:t>, con fundamento en el artículo 29-E, fracción VII, de la Ley Federal de Derechos, según consta en el comprobante de pago que se ofrece como prueba.</w:t>
      </w:r>
    </w:p>
    <w:p>
      <w:pPr>
        <w:spacing w:line="360" w:lineRule="auto"/>
        <w:jc w:val="both"/>
      </w:pPr>
      <w:r>
        <w:rPr>
          <w:rFonts w:ascii="Arial" w:hAnsi="Arial"/>
          <w:b w:val="0"/>
          <w:i w:val="0"/>
          <w:sz w:val="28"/>
        </w:rPr>
        <w:t xml:space="preserve">El </w:t>
      </w:r>
      <w:r>
        <w:rPr>
          <w:rFonts w:ascii="Arial" w:hAnsi="Arial"/>
          <w:b/>
          <w:i w:val="0"/>
          <w:sz w:val="28"/>
        </w:rPr>
        <w:t>[FECHA DE PRESENTACIÓN DE LA SOLICITUD DE DEVOLUCIÓN]</w:t>
      </w:r>
      <w:r>
        <w:rPr>
          <w:rFonts w:ascii="Arial" w:hAnsi="Arial"/>
          <w:b w:val="0"/>
          <w:i w:val="0"/>
          <w:sz w:val="28"/>
        </w:rPr>
        <w:t xml:space="preserve">, antes de que prescribiera la obligación de devolver en los términos del Código Fiscal de la Federación, la parte actora presentó la solicitud de devolución con número de folio </w:t>
      </w:r>
      <w:r>
        <w:rPr>
          <w:rFonts w:ascii="Arial" w:hAnsi="Arial"/>
          <w:b/>
          <w:i w:val="0"/>
          <w:sz w:val="28"/>
        </w:rPr>
        <w:t>[NÚMERO DE FOLIO DE LA SOLICITUD DE DEVOLUCIÓN]</w:t>
      </w:r>
      <w:r>
        <w:rPr>
          <w:rFonts w:ascii="Arial" w:hAnsi="Arial"/>
          <w:b w:val="0"/>
          <w:i w:val="0"/>
          <w:sz w:val="28"/>
        </w:rPr>
        <w:t>, en la que expuso que el cobro carecía de sustento constitucional conforme a la jurisprudencia del Pleno y que, en consecuencia, lo enterado constituía pago de lo indebido.</w:t>
      </w:r>
    </w:p>
    <w:p>
      <w:pPr>
        <w:spacing w:line="360" w:lineRule="auto"/>
        <w:jc w:val="both"/>
      </w:pPr>
      <w:r>
        <w:rPr>
          <w:rFonts w:ascii="Arial" w:hAnsi="Arial"/>
          <w:b w:val="0"/>
          <w:i w:val="0"/>
          <w:sz w:val="28"/>
        </w:rPr>
        <w:t>La autoridad negó la devolución con una sola razón: que la solicitante, como su propia denominación lo indica, es una sociedad financiera de objeto múltiple, entidad no regulada, hecho que calificó de indiscutible, y que por ello debía pagar la cuota del artículo 29-E, fracción VII, vigente en el ejercicio de que se trata y a la fecha de la resolución, de modo que no existía pago de lo indebido. No invocó ningún otro fundamento ni negó el entero, la oportunidad de la solicitud ni la calidad de la solicitante.</w:t>
      </w:r>
    </w:p>
    <w:p>
      <w:pPr>
        <w:spacing w:line="360" w:lineRule="auto"/>
        <w:jc w:val="both"/>
      </w:pPr>
      <w:r>
        <w:rPr>
          <w:rFonts w:ascii="Arial" w:hAnsi="Arial"/>
          <w:b w:val="0"/>
          <w:i w:val="0"/>
          <w:sz w:val="28"/>
        </w:rPr>
        <w:t>La subsunción es directa. La calidad de la parte actora no está en disputa; lo que se discute es si esa calidad genera una obligación de pago válida. La norma que la autoridad invocó como fuente de esa obligación es exactamente la que el Pleno declaró carente de sustento constitucional; luego la negativa se dictó con fundamento en una disposición que no puede regir el caso, hipótesis precisa del artículo 51, fracción IV, de la Ley Federal de Procedimiento Contencioso Administrativo, y el entero que esa norma pretendía justificar carece de causa, hipótesis del artículo 22 del Código Fiscal de la Federación.</w:t>
      </w:r>
    </w:p>
    <w:p>
      <w:pPr>
        <w:spacing w:line="360" w:lineRule="auto"/>
        <w:jc w:val="both"/>
      </w:pPr>
      <w:r>
        <w:rPr>
          <w:rFonts w:ascii="Arial" w:hAnsi="Arial"/>
          <w:b w:val="0"/>
          <w:i w:val="0"/>
          <w:sz w:val="28"/>
        </w:rPr>
        <w:t>Frente a ello, el razonamiento de la autoridad es lógicamente inválido por tres vías. La primera es la petición de principio: la resolución toma como premisa que la cuota es debida porque la ley la prevé, cuando eso era justamente lo que la solicitud cuestionaba y lo que la jurisprudencia negó. La doctrina de la argumentación explica que en todo raciocinio lo que sirve de fundamento debe ser más claro y conocido que lo que se quiere probar, y que la falacia consiste en sentar como premisa aquello mismo que era preciso demostrar.</w:t>
      </w:r>
      <w:r>
        <w:rPr>
          <w:rFonts w:ascii="Arial" w:hAnsi="Arial"/>
          <w:vertAlign w:val="superscript"/>
        </w:rPr>
        <w:t>4</w:t>
      </w:r>
    </w:p>
    <w:p>
      <w:pPr>
        <w:spacing w:line="360" w:lineRule="auto"/>
        <w:jc w:val="both"/>
      </w:pPr>
      <w:r>
        <w:rPr>
          <w:rFonts w:ascii="Arial" w:hAnsi="Arial"/>
          <w:b w:val="0"/>
          <w:i w:val="0"/>
          <w:sz w:val="28"/>
        </w:rPr>
        <w:t>La segunda es el non sequitur, denominación genérica de los argumentos cuya conclusión no se sigue de las premisas.</w:t>
      </w:r>
      <w:r>
        <w:rPr>
          <w:rFonts w:ascii="Arial" w:hAnsi="Arial"/>
          <w:vertAlign w:val="superscript"/>
        </w:rPr>
        <w:t>5</w:t>
      </w:r>
      <w:r>
        <w:rPr>
          <w:rFonts w:ascii="Arial" w:hAnsi="Arial"/>
          <w:b w:val="0"/>
          <w:i w:val="0"/>
          <w:sz w:val="28"/>
        </w:rPr>
        <w:t xml:space="preserve"> De que el artículo 29-E, fracción VII, estuviera vigente en el ejercicio del pago y a la fecha de la resolución no se sigue que el entero haya tenido causa legal: la vigencia formal de un precepto es compatible con la invalidez de su cobro, y ésta fue declarada por el órgano cuya jurisprudencia obliga a todos los tribunales de la Federación. El razonamiento correcto era el inverso: norma vigente, pero cobro sin sustento, luego pago sin causa y devolución procedente.</w:t>
      </w:r>
    </w:p>
    <w:p>
      <w:pPr>
        <w:spacing w:line="360" w:lineRule="auto"/>
        <w:jc w:val="both"/>
      </w:pPr>
      <w:r>
        <w:rPr>
          <w:rFonts w:ascii="Arial" w:hAnsi="Arial"/>
          <w:b w:val="0"/>
          <w:i w:val="0"/>
          <w:sz w:val="28"/>
        </w:rPr>
        <w:t>La tercera vía es que la autoridad respondió una pregunta distinta de la planteada. La solicitud no discutía si la parte actora es una sociedad financiera de objeto múltiple no regulada, sino si el cobro que se le hizo tiene sustento; al concentrar su motivación en un hecho que nadie controvertía, la resolución dejó sin respuesta la causa de pedir.</w:t>
      </w:r>
    </w:p>
    <w:p>
      <w:pPr>
        <w:spacing w:line="360" w:lineRule="auto"/>
        <w:jc w:val="both"/>
      </w:pPr>
      <w:r>
        <w:rPr>
          <w:rFonts w:ascii="Arial" w:hAnsi="Arial"/>
          <w:b w:val="0"/>
          <w:i w:val="0"/>
          <w:sz w:val="28"/>
        </w:rPr>
        <w:t xml:space="preserve">La doctrina explica que la razón de ser de la fundamentación y motivación es que la persona justiciable conozca el </w:t>
      </w:r>
      <w:r>
        <w:rPr>
          <w:rFonts w:ascii="Arial" w:hAnsi="Arial"/>
          <w:b w:val="0"/>
          <w:i/>
          <w:sz w:val="28"/>
        </w:rPr>
        <w:t>«para qué»</w:t>
      </w:r>
      <w:r>
        <w:rPr>
          <w:rFonts w:ascii="Arial" w:hAnsi="Arial"/>
          <w:b w:val="0"/>
          <w:i w:val="0"/>
          <w:sz w:val="28"/>
        </w:rPr>
        <w:t xml:space="preserve"> de la conducta de la autoridad, es decir, que se le dé a conocer de manera completa la esencia de las circunstancias y condiciones que determinaron la decisión.</w:t>
      </w:r>
      <w:r>
        <w:rPr>
          <w:rFonts w:ascii="Arial" w:hAnsi="Arial"/>
          <w:vertAlign w:val="superscript"/>
        </w:rPr>
        <w:t>6</w:t>
      </w:r>
      <w:r>
        <w:rPr>
          <w:rFonts w:ascii="Arial" w:hAnsi="Arial"/>
          <w:b w:val="0"/>
          <w:i w:val="0"/>
          <w:sz w:val="28"/>
        </w:rPr>
        <w:t xml:space="preserve"> Una motivación que atiende a lo no debatido y calla sobre lo debatido no cumple esa función y equivale, en la práctica, a una negativa sin razón.</w:t>
      </w:r>
    </w:p>
    <w:p>
      <w:pPr>
        <w:spacing w:line="360" w:lineRule="auto"/>
        <w:jc w:val="both"/>
      </w:pPr>
      <w:r>
        <w:rPr>
          <w:rFonts w:ascii="Arial" w:hAnsi="Arial"/>
          <w:b w:val="0"/>
          <w:i w:val="0"/>
          <w:sz w:val="28"/>
        </w:rPr>
        <w:t>Conviene anticipar tres objeciones. La primera sería que la autoridad administrativa no puede desaplicar una ley vigente. La respuesta es que no se le pidió desaplicarla por decisión propia, sino devolver un pago cuya causa había sido negada por jurisprudencia obligatoria; y que, en todo caso, quien ahora juzga la legalidad de la negativa es una autoridad jurisdiccional de la Federación, sujeta al artículo 217 de la Ley de Amparo, que no puede convalidar un fundamento que la jurisprudencia desautorizó.</w:t>
      </w:r>
    </w:p>
    <w:p>
      <w:pPr>
        <w:spacing w:line="360" w:lineRule="auto"/>
        <w:jc w:val="both"/>
      </w:pPr>
      <w:r>
        <w:rPr>
          <w:rFonts w:ascii="Arial" w:hAnsi="Arial"/>
          <w:b w:val="0"/>
          <w:i w:val="0"/>
          <w:sz w:val="28"/>
        </w:rPr>
        <w:t>La segunda objeción sería que el pago se hizo voluntariamente y, por tanto, se consintió. El entero de una cuota autoliquidada no importa consentimiento de su validez: el propio artículo 22 del Código Fiscal de la Federación abre la vía de la solicitud de devolución precisamente para lo pagado indebidamente, y la resolución que la niega es la resolución definitiva que aquí se impugna, dentro del plazo de treinta días que fija el artículo 58-2 de la Ley Federal de Procedimiento Contencioso Administrativo.</w:t>
      </w:r>
    </w:p>
    <w:p>
      <w:pPr>
        <w:spacing w:line="360" w:lineRule="auto"/>
        <w:jc w:val="both"/>
      </w:pPr>
      <w:r>
        <w:rPr>
          <w:rFonts w:ascii="Arial" w:hAnsi="Arial"/>
          <w:b w:val="0"/>
          <w:i w:val="0"/>
          <w:sz w:val="28"/>
        </w:rPr>
        <w:t>La tercera objeción sería que, de estimarse ilegal la negativa, procedería únicamente la nulidad para el efecto de que la autoridad resuelva de nuevo. Ese reenvío es improcedente: la ilegalidad advertida es el único motivo de la negativa, la autoridad no negó el entero ni la oportunidad de la solicitud, y en autos obran el comprobante de pago, el acuse de la solicitud y la resolución impugnada, de modo que este Tribunal cuenta con todos los elementos para fijar el derecho subjetivo y condenar, como lo exige la plena jurisdicción que le confiere el artículo 52, fracción V, inciso a), del ordenamiento citado.</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negativa de devolución se apoya exclusivamente en el artículo 29-E, fracción VII, de la Ley Federal de Derechos; el Pleno de la Suprema Corte de Justicia de la Nación estableció, en jurisprudencia obligatoria para este Tribunal, que la cuota que ese precepto prevé carece de sustento constitucional porque la supervisión que pretende retribuir es una función inherente al Estado y no un servicio; y, en consecuencia, la cantidad enterada por la parte actora es un pago de lo indebido que el artículo 22 del Código Fiscal de la Federación ordena devolver.</w:t>
      </w:r>
    </w:p>
    <w:p>
      <w:pPr>
        <w:spacing w:line="360" w:lineRule="auto"/>
        <w:jc w:val="both"/>
      </w:pPr>
      <w:r>
        <w:rPr>
          <w:rFonts w:ascii="Arial" w:hAnsi="Arial"/>
          <w:b w:val="0"/>
          <w:i w:val="0"/>
          <w:sz w:val="28"/>
        </w:rPr>
        <w:t xml:space="preserve">Por lo expuesto, se solicita a esta Sala Regional declarar fundado el presente concepto de impugnación y, con fundamento en los artículos 51, fracción IV, y 52, fracción V, inciso a), de la Ley Federal de Procedimiento Contencioso Administrativo, declarar la nulidad de la resolución impugnada, reconocer a </w:t>
      </w:r>
      <w:r>
        <w:rPr>
          <w:rFonts w:ascii="Arial" w:hAnsi="Arial"/>
          <w:b/>
          <w:i w:val="0"/>
          <w:sz w:val="28"/>
        </w:rPr>
        <w:t>[NOMBRE DE LA PARTE ACTORA]</w:t>
      </w:r>
      <w:r>
        <w:rPr>
          <w:rFonts w:ascii="Arial" w:hAnsi="Arial"/>
          <w:b w:val="0"/>
          <w:i w:val="0"/>
          <w:sz w:val="28"/>
        </w:rPr>
        <w:t xml:space="preserve"> el derecho subjetivo a la devolución de la cantidad de </w:t>
      </w:r>
      <w:r>
        <w:rPr>
          <w:rFonts w:ascii="Arial" w:hAnsi="Arial"/>
          <w:b/>
          <w:i w:val="0"/>
          <w:sz w:val="28"/>
        </w:rPr>
        <w:t>[MONTO PAGADO POR DERECHOS DE INSPECCIÓN Y VIGILANCIA]</w:t>
      </w:r>
      <w:r>
        <w:rPr>
          <w:rFonts w:ascii="Arial" w:hAnsi="Arial"/>
          <w:b w:val="0"/>
          <w:i w:val="0"/>
          <w:sz w:val="28"/>
        </w:rPr>
        <w:t xml:space="preserve"> y condenar a la </w:t>
      </w:r>
      <w:r>
        <w:rPr>
          <w:rFonts w:ascii="Arial" w:hAnsi="Arial"/>
          <w:b/>
          <w:i w:val="0"/>
          <w:sz w:val="28"/>
        </w:rPr>
        <w:t>[AUTORIDAD DEMANDADA]</w:t>
      </w:r>
      <w:r>
        <w:rPr>
          <w:rFonts w:ascii="Arial" w:hAnsi="Arial"/>
          <w:b w:val="0"/>
          <w:i w:val="0"/>
          <w:sz w:val="28"/>
        </w:rPr>
        <w:t xml:space="preserve"> a devolverla con la actualización del artículo 17-A y los intereses del artículo 22-A del Código Fiscal de la Federación.</w:t>
      </w:r>
    </w:p>
    <w:p>
      <w:pPr>
        <w:spacing w:line="360" w:lineRule="auto"/>
        <w:jc w:val="both"/>
      </w:pPr>
      <w:r>
        <w:rPr>
          <w:rFonts w:ascii="Arial" w:hAnsi="Arial"/>
          <w:b w:val="0"/>
          <w:i w:val="0"/>
          <w:sz w:val="28"/>
        </w:rPr>
        <w:t xml:space="preserve">Se pide que los intereses se computen a partir del </w:t>
      </w:r>
      <w:r>
        <w:rPr>
          <w:rFonts w:ascii="Arial" w:hAnsi="Arial"/>
          <w:b/>
          <w:i w:val="0"/>
          <w:sz w:val="28"/>
        </w:rPr>
        <w:t>[FECHA DE INICIO DEL CÓMPUTO DE INTERESES CONFORME AL ARTÍCULO 22-A DEL CÓDIGO FISCAL DE LA FEDERACIÓN]</w:t>
      </w:r>
      <w:r>
        <w:rPr>
          <w:rFonts w:ascii="Arial" w:hAnsi="Arial"/>
          <w:b w:val="0"/>
          <w:i w:val="0"/>
          <w:sz w:val="28"/>
        </w:rPr>
        <w:t xml:space="preserve"> y que la devolución se realice dentro del plazo que el artículo 52 de la Ley Federal de Procedimiento Contencioso Administrativo fija para el cumplimiento de las sentencias, contado desde que la que se dicte quede firme, bajo apercibimiento de las consecuencias legales del incumplimiento.</w:t>
      </w:r>
    </w:p>
    <w:p>
      <w:pPr>
        <w:spacing w:line="360" w:lineRule="auto"/>
        <w:jc w:val="both"/>
      </w:pPr>
      <w:r>
        <w:rPr>
          <w:rFonts w:ascii="Arial" w:hAnsi="Arial"/>
          <w:b w:val="0"/>
          <w:i w:val="0"/>
          <w:sz w:val="28"/>
        </w:rPr>
        <w:t>Se solicita, además, el estudio preferente de este concepto, pues su acogimiento otorga a la parte actora el mayor beneficio jurídico posible.</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TARUFFO, Michele, </w:t>
      </w:r>
      <w:r>
        <w:rPr>
          <w:rFonts w:ascii="Arial" w:hAnsi="Arial"/>
          <w:i/>
          <w:sz w:val="20"/>
        </w:rPr>
        <w:t>La motivación de la sentencia civil</w:t>
      </w:r>
      <w:r>
        <w:rPr>
          <w:rFonts w:ascii="Arial" w:hAnsi="Arial"/>
          <w:i w:val="0"/>
          <w:sz w:val="20"/>
        </w:rPr>
        <w:t>, trad. de Lorenzo Córdova Vianello, Tribunal Electoral del Poder Judicial de la Federación, México, 2006, p. 12.</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GÓMORA JUÁREZ, Sandra, </w:t>
      </w:r>
      <w:r>
        <w:rPr>
          <w:rFonts w:ascii="Arial" w:hAnsi="Arial"/>
          <w:i/>
          <w:sz w:val="20"/>
        </w:rPr>
        <w:t>Un análisis conceptual del precedente judicial</w:t>
      </w:r>
      <w:r>
        <w:rPr>
          <w:rFonts w:ascii="Arial" w:hAnsi="Arial"/>
          <w:i w:val="0"/>
          <w:sz w:val="20"/>
        </w:rPr>
        <w:t>, Universidad Nacional Autónoma de México, Instituto de Investigaciones Jurídicas, México, 2018, p. 220.</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1559.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64.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177.</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GÓMORA JUÁREZ, Sandra, </w:t>
      </w:r>
      <w:r>
        <w:rPr>
          <w:rFonts w:ascii="Arial" w:hAnsi="Arial"/>
          <w:i/>
          <w:sz w:val="20"/>
        </w:rPr>
        <w:t>Un análisis conceptual del precedente judicial</w:t>
      </w:r>
      <w:r>
        <w:rPr>
          <w:rFonts w:ascii="Arial" w:hAnsi="Arial"/>
          <w:i w:val="0"/>
          <w:sz w:val="20"/>
        </w:rPr>
        <w:t>, Universidad Nacional Autónoma de México, Instituto de Investigaciones Jurídicas, México, 2018.</w:t>
      </w:r>
    </w:p>
    <w:p>
      <w:pPr>
        <w:spacing w:after="60"/>
        <w:ind w:left="360" w:hanging="360"/>
        <w:jc w:val="both"/>
      </w:pPr>
      <w:r>
        <w:rPr>
          <w:rFonts w:ascii="Arial" w:hAnsi="Arial"/>
          <w:i w:val="0"/>
          <w:sz w:val="20"/>
        </w:rPr>
        <w:t xml:space="preserve">TARUFFO, Michele, </w:t>
      </w:r>
      <w:r>
        <w:rPr>
          <w:rFonts w:ascii="Arial" w:hAnsi="Arial"/>
          <w:i/>
          <w:sz w:val="20"/>
        </w:rPr>
        <w:t>La motivación de la sentencia civil</w:t>
      </w:r>
      <w:r>
        <w:rPr>
          <w:rFonts w:ascii="Arial" w:hAnsi="Arial"/>
          <w:i w:val="0"/>
          <w:sz w:val="20"/>
        </w:rPr>
        <w:t>, trad. de Lorenzo Córdova Vianello, Tribunal Electoral del Poder Judicial de la Federación, México, 2006.</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