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CONCEPTO DE IMPUGNACIÓN: PRESCRIPCIÓN DEL CRÉDITO FISCAL (DEMANDA DE NULIDAD TFJA)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Primero reconstruye la cronología del crédito: fecha de notificación de la resolución determinante, fecha en que el pago pudo exigirse legalmente, cada posible interrupción (gestiones de cobro notificadas, reconocimientos, juicios previos) y la fecha en que conociste el acto de cobro. Después llena los campos del machote en orden, verifica que la fecha de consumación que asientes sea posterior a la última interrupción real y anexa las constancias que acrediten cada fecha. Inserta el concepto en tu demanda de nulidad o en la ampliación, según si conocías o no los actos.</w:t>
      </w:r>
    </w:p>
    <w:p>
      <w:pPr>
        <w:spacing w:line="360" w:lineRule="auto"/>
        <w:jc w:val="both"/>
      </w:pPr>
      <w:r>
        <w:rPr>
          <w:rFonts w:ascii="Arial" w:hAnsi="Arial"/>
          <w:b/>
          <w:i w:val="0"/>
          <w:sz w:val="24"/>
        </w:rPr>
        <w:t>[ORDINAL DEL CONCEPTO]</w:t>
      </w:r>
      <w:r>
        <w:rPr>
          <w:rFonts w:ascii="Arial" w:hAnsi="Arial"/>
          <w:b w:val="0"/>
          <w:i w:val="0"/>
          <w:sz w:val="24"/>
        </w:rPr>
        <w:t>: el número ordinal que le toque en tu escrito (PRIMERO, SEGUNDO…).</w:t>
      </w:r>
    </w:p>
    <w:p>
      <w:pPr>
        <w:spacing w:line="360" w:lineRule="auto"/>
        <w:jc w:val="both"/>
      </w:pPr>
      <w:r>
        <w:rPr>
          <w:rFonts w:ascii="Arial" w:hAnsi="Arial"/>
          <w:b/>
          <w:i w:val="0"/>
          <w:sz w:val="24"/>
        </w:rPr>
        <w:t>[NOMBRE DE LA PARTE ACTORA]</w:t>
      </w:r>
      <w:r>
        <w:rPr>
          <w:rFonts w:ascii="Arial" w:hAnsi="Arial"/>
          <w:b w:val="0"/>
          <w:i w:val="0"/>
          <w:sz w:val="24"/>
        </w:rPr>
        <w:t>: nombre completo de la persona o empresa demandante.</w:t>
      </w:r>
    </w:p>
    <w:p>
      <w:pPr>
        <w:spacing w:line="360" w:lineRule="auto"/>
        <w:jc w:val="both"/>
      </w:pPr>
      <w:r>
        <w:rPr>
          <w:rFonts w:ascii="Arial" w:hAnsi="Arial"/>
          <w:b/>
          <w:i w:val="0"/>
          <w:sz w:val="24"/>
        </w:rPr>
        <w:t>[AUTORIDAD DEMANDADA]</w:t>
      </w:r>
      <w:r>
        <w:rPr>
          <w:rFonts w:ascii="Arial" w:hAnsi="Arial"/>
          <w:b w:val="0"/>
          <w:i w:val="0"/>
          <w:sz w:val="24"/>
        </w:rPr>
        <w:t>: la autoridad exactora que ordenó el cobro o la inmovilización.</w:t>
      </w:r>
    </w:p>
    <w:p>
      <w:pPr>
        <w:spacing w:line="360" w:lineRule="auto"/>
        <w:jc w:val="both"/>
      </w:pPr>
      <w:r>
        <w:rPr>
          <w:rFonts w:ascii="Arial" w:hAnsi="Arial"/>
          <w:b/>
          <w:i w:val="0"/>
          <w:sz w:val="24"/>
        </w:rPr>
        <w:t>[NÚMERO DEL CRÉDITO FISCAL]</w:t>
      </w:r>
      <w:r>
        <w:rPr>
          <w:rFonts w:ascii="Arial" w:hAnsi="Arial"/>
          <w:b w:val="0"/>
          <w:i w:val="0"/>
          <w:sz w:val="24"/>
        </w:rPr>
        <w:t>: el número de control del crédito que se pretende cobrar.</w:t>
      </w:r>
    </w:p>
    <w:p>
      <w:pPr>
        <w:spacing w:line="360" w:lineRule="auto"/>
        <w:jc w:val="both"/>
      </w:pPr>
      <w:r>
        <w:rPr>
          <w:rFonts w:ascii="Arial" w:hAnsi="Arial"/>
          <w:b/>
          <w:i w:val="0"/>
          <w:sz w:val="24"/>
        </w:rPr>
        <w:t>[NÚMERO Y FECHA DE LA RESOLUCIÓN DETERMINANTE]</w:t>
      </w:r>
      <w:r>
        <w:rPr>
          <w:rFonts w:ascii="Arial" w:hAnsi="Arial"/>
          <w:b w:val="0"/>
          <w:i w:val="0"/>
          <w:sz w:val="24"/>
        </w:rPr>
        <w:t>: oficio y fecha de la resolución que determinó el crédito.</w:t>
      </w:r>
    </w:p>
    <w:p>
      <w:pPr>
        <w:spacing w:line="360" w:lineRule="auto"/>
        <w:jc w:val="both"/>
      </w:pPr>
      <w:r>
        <w:rPr>
          <w:rFonts w:ascii="Arial" w:hAnsi="Arial"/>
          <w:b/>
          <w:i w:val="0"/>
          <w:sz w:val="24"/>
        </w:rPr>
        <w:t>[FECHA DE NOTIFICACIÓN DE LA RESOLUCIÓN DETERMINANTE]</w:t>
      </w:r>
      <w:r>
        <w:rPr>
          <w:rFonts w:ascii="Arial" w:hAnsi="Arial"/>
          <w:b w:val="0"/>
          <w:i w:val="0"/>
          <w:sz w:val="24"/>
        </w:rPr>
        <w:t>: cuándo se notificó esa resolución.</w:t>
      </w:r>
    </w:p>
    <w:p>
      <w:pPr>
        <w:spacing w:line="360" w:lineRule="auto"/>
        <w:jc w:val="both"/>
      </w:pPr>
      <w:r>
        <w:rPr>
          <w:rFonts w:ascii="Arial" w:hAnsi="Arial"/>
          <w:b/>
          <w:i w:val="0"/>
          <w:sz w:val="24"/>
        </w:rPr>
        <w:t>[FECHA EN QUE EL PAGO PUDO SER LEGALMENTE EXIGIDO]</w:t>
      </w:r>
      <w:r>
        <w:rPr>
          <w:rFonts w:ascii="Arial" w:hAnsi="Arial"/>
          <w:b w:val="0"/>
          <w:i w:val="0"/>
          <w:sz w:val="24"/>
        </w:rPr>
        <w:t>: cuando venció el plazo legal para pagar o garantizar.</w:t>
      </w:r>
    </w:p>
    <w:p>
      <w:pPr>
        <w:spacing w:line="360" w:lineRule="auto"/>
        <w:jc w:val="both"/>
      </w:pPr>
      <w:r>
        <w:rPr>
          <w:rFonts w:ascii="Arial" w:hAnsi="Arial"/>
          <w:b/>
          <w:i w:val="0"/>
          <w:sz w:val="24"/>
        </w:rPr>
        <w:t>[FECHA DE LA ÚLTIMA INTERRUPCIÓN ACREDITADA]</w:t>
      </w:r>
      <w:r>
        <w:rPr>
          <w:rFonts w:ascii="Arial" w:hAnsi="Arial"/>
          <w:b w:val="0"/>
          <w:i w:val="0"/>
          <w:sz w:val="24"/>
        </w:rPr>
        <w:t>: la última gestión de cobro notificada o el último reconocimiento del crédito que conste en autos.</w:t>
      </w:r>
    </w:p>
    <w:p>
      <w:pPr>
        <w:spacing w:line="360" w:lineRule="auto"/>
        <w:jc w:val="both"/>
      </w:pPr>
      <w:r>
        <w:rPr>
          <w:rFonts w:ascii="Arial" w:hAnsi="Arial"/>
          <w:b/>
          <w:i w:val="0"/>
          <w:sz w:val="24"/>
        </w:rPr>
        <w:t>[FECHA EN QUE SE CONSUMÓ LA PRESCRIPCIÓN]</w:t>
      </w:r>
      <w:r>
        <w:rPr>
          <w:rFonts w:ascii="Arial" w:hAnsi="Arial"/>
          <w:b w:val="0"/>
          <w:i w:val="0"/>
          <w:sz w:val="24"/>
        </w:rPr>
        <w:t>: el día en que venció el plazo contado desde la última interrupción.</w:t>
      </w:r>
    </w:p>
    <w:p>
      <w:pPr>
        <w:spacing w:line="360" w:lineRule="auto"/>
        <w:jc w:val="both"/>
      </w:pPr>
      <w:r>
        <w:rPr>
          <w:rFonts w:ascii="Arial" w:hAnsi="Arial"/>
          <w:b/>
          <w:i w:val="0"/>
          <w:sz w:val="24"/>
        </w:rPr>
        <w:t>[NÚMERO Y FECHA DEL OFICIO DE INMOVILIZACIÓN]</w:t>
      </w:r>
      <w:r>
        <w:rPr>
          <w:rFonts w:ascii="Arial" w:hAnsi="Arial"/>
          <w:b w:val="0"/>
          <w:i w:val="0"/>
          <w:sz w:val="24"/>
        </w:rPr>
        <w:t>: datos del oficio que comunicó el congelamiento de la cuenta.</w:t>
      </w:r>
    </w:p>
    <w:p>
      <w:pPr>
        <w:spacing w:line="360" w:lineRule="auto"/>
        <w:jc w:val="both"/>
      </w:pPr>
      <w:r>
        <w:rPr>
          <w:rFonts w:ascii="Arial" w:hAnsi="Arial"/>
          <w:b/>
          <w:i w:val="0"/>
          <w:sz w:val="24"/>
        </w:rPr>
        <w:t>[FECHA EN QUE SE CONOCIÓ EL OFICIO DE INMOVILIZACIÓN]</w:t>
      </w:r>
      <w:r>
        <w:rPr>
          <w:rFonts w:ascii="Arial" w:hAnsi="Arial"/>
          <w:b w:val="0"/>
          <w:i w:val="0"/>
          <w:sz w:val="24"/>
        </w:rPr>
        <w:t>: cuándo tuviste noticia real de ese oficio.</w:t>
      </w:r>
    </w:p>
    <w:p>
      <w:pPr>
        <w:spacing w:line="360" w:lineRule="auto"/>
        <w:jc w:val="both"/>
      </w:pPr>
      <w:r>
        <w:rPr>
          <w:rFonts w:ascii="Arial" w:hAnsi="Arial"/>
          <w:b/>
          <w:i w:val="0"/>
          <w:sz w:val="24"/>
        </w:rPr>
        <w:t>[NÚMERO DE LA CUENTA BANCARIA INMOVILIZADA]</w:t>
      </w:r>
      <w:r>
        <w:rPr>
          <w:rFonts w:ascii="Arial" w:hAnsi="Arial"/>
          <w:b w:val="0"/>
          <w:i w:val="0"/>
          <w:sz w:val="24"/>
        </w:rPr>
        <w:t>: la cuenta afectada por la medida.</w:t>
      </w:r>
    </w:p>
    <w:p>
      <w:pPr>
        <w:spacing w:line="360" w:lineRule="auto"/>
        <w:jc w:val="both"/>
      </w:pPr>
      <w:r>
        <w:rPr>
          <w:rFonts w:ascii="Arial" w:hAnsi="Arial"/>
          <w:b/>
          <w:i w:val="0"/>
          <w:sz w:val="24"/>
        </w:rPr>
        <w:t>[SALA REGIONAL COMPETENTE]</w:t>
      </w:r>
      <w:r>
        <w:rPr>
          <w:rFonts w:ascii="Arial" w:hAnsi="Arial"/>
          <w:b w:val="0"/>
          <w:i w:val="0"/>
          <w:sz w:val="24"/>
        </w:rPr>
        <w:t>: la Sala Regional del TFJA que corresponda al domicilio fiscal.</w:t>
      </w:r>
    </w:p>
    <w:p/>
    <w:p>
      <w:pPr>
        <w:spacing w:line="360" w:lineRule="auto"/>
        <w:jc w:val="both"/>
      </w:pPr>
      <w:r>
        <w:rPr>
          <w:rFonts w:ascii="Arial" w:hAnsi="Arial"/>
          <w:b/>
          <w:sz w:val="28"/>
        </w:rPr>
        <w:t>[ORDINAL DEL CONCEPTO] CONCEPTO DE IMPUGNACIÓN. Prescripción del crédito fiscal que sustenta el procedimiento de inmovilización de cuentas bancarias. Violación del artículo 146 del Código Fiscal de la Federación, que actualiza la causal de ilegalidad prevista en el artículo 51, fracción IV, de la Ley Federal de Procedimiento Contencioso Administrativo.</w:t>
      </w:r>
    </w:p>
    <w:p>
      <w:pPr>
        <w:spacing w:line="360" w:lineRule="auto"/>
        <w:jc w:val="both"/>
      </w:pPr>
      <w:r>
        <w:rPr>
          <w:rFonts w:ascii="Arial" w:hAnsi="Arial"/>
          <w:b/>
          <w:i w:val="0"/>
          <w:sz w:val="28"/>
        </w:rPr>
        <w:t>I. Síntesis.</w:t>
      </w:r>
      <w:r>
        <w:rPr>
          <w:rFonts w:ascii="Arial" w:hAnsi="Arial"/>
          <w:b w:val="0"/>
          <w:i w:val="0"/>
          <w:sz w:val="28"/>
        </w:rPr>
        <w:t xml:space="preserve"> En este concepto de impugnación se demostrará que el crédito fiscal </w:t>
      </w:r>
      <w:r>
        <w:rPr>
          <w:rFonts w:ascii="Arial" w:hAnsi="Arial"/>
          <w:b/>
          <w:i w:val="0"/>
          <w:sz w:val="28"/>
        </w:rPr>
        <w:t>[NÚMERO DEL CRÉDITO FISCAL]</w:t>
      </w:r>
      <w:r>
        <w:rPr>
          <w:rFonts w:ascii="Arial" w:hAnsi="Arial"/>
          <w:b w:val="0"/>
          <w:i w:val="0"/>
          <w:sz w:val="28"/>
        </w:rPr>
        <w:t xml:space="preserve">, determinado en la resolución </w:t>
      </w:r>
      <w:r>
        <w:rPr>
          <w:rFonts w:ascii="Arial" w:hAnsi="Arial"/>
          <w:b/>
          <w:i w:val="0"/>
          <w:sz w:val="28"/>
        </w:rPr>
        <w:t>[NÚMERO Y FECHA DE LA RESOLUCIÓN DETERMINANTE]</w:t>
      </w:r>
      <w:r>
        <w:rPr>
          <w:rFonts w:ascii="Arial" w:hAnsi="Arial"/>
          <w:b w:val="0"/>
          <w:i w:val="0"/>
          <w:sz w:val="28"/>
        </w:rPr>
        <w:t>, se encuentra extinguido por prescripción, pues desde la fecha en que su pago pudo ser legalmente exigido transcurrió en exceso el plazo que establece el artículo 146, primer párrafo, del Código Fiscal de la Federación, sin que exista gestión de cobro alguna hecha del conocimiento de la parte actora que lo hubiera interrumpido válidamente.</w:t>
      </w:r>
    </w:p>
    <w:p>
      <w:pPr>
        <w:spacing w:line="360" w:lineRule="auto"/>
        <w:jc w:val="both"/>
      </w:pPr>
      <w:r>
        <w:rPr>
          <w:rFonts w:ascii="Arial" w:hAnsi="Arial"/>
          <w:b w:val="0"/>
          <w:i w:val="0"/>
          <w:sz w:val="28"/>
        </w:rPr>
        <w:t xml:space="preserve">Como consecuencia de esa extinción, la inmovilización de la cuenta bancaria </w:t>
      </w:r>
      <w:r>
        <w:rPr>
          <w:rFonts w:ascii="Arial" w:hAnsi="Arial"/>
          <w:b/>
          <w:i w:val="0"/>
          <w:sz w:val="28"/>
        </w:rPr>
        <w:t>[NÚMERO DE LA CUENTA BANCARIA INMOVILIZADA]</w:t>
      </w:r>
      <w:r>
        <w:rPr>
          <w:rFonts w:ascii="Arial" w:hAnsi="Arial"/>
          <w:b w:val="0"/>
          <w:i w:val="0"/>
          <w:sz w:val="28"/>
        </w:rPr>
        <w:t xml:space="preserve">, comunicada mediante el oficio </w:t>
      </w:r>
      <w:r>
        <w:rPr>
          <w:rFonts w:ascii="Arial" w:hAnsi="Arial"/>
          <w:b/>
          <w:i w:val="0"/>
          <w:sz w:val="28"/>
        </w:rPr>
        <w:t>[NÚMERO Y FECHA DEL OFICIO DE INMOVILIZACIÓN]</w:t>
      </w:r>
      <w:r>
        <w:rPr>
          <w:rFonts w:ascii="Arial" w:hAnsi="Arial"/>
          <w:b w:val="0"/>
          <w:i w:val="0"/>
          <w:sz w:val="28"/>
        </w:rPr>
        <w:t>, así como todas las actuaciones del procedimiento administrativo de ejecución encaminadas a hacer efectivo ese crédito, carecen de causa jurídica; procede, por tanto, declarar su nulidad lisa y llana conforme a los artículos 51, fracción IV, y 52, fracción II, de la Ley Federal de Procedimiento Contencioso Administrativo.</w:t>
      </w:r>
    </w:p>
    <w:p>
      <w:pPr>
        <w:spacing w:line="360" w:lineRule="auto"/>
        <w:jc w:val="both"/>
      </w:pPr>
      <w:r>
        <w:rPr>
          <w:rFonts w:ascii="Arial" w:hAnsi="Arial"/>
          <w:b/>
          <w:i w:val="0"/>
          <w:sz w:val="28"/>
        </w:rPr>
        <w:t>II. Planteamiento.</w:t>
      </w:r>
      <w:r>
        <w:rPr>
          <w:rFonts w:ascii="Arial" w:hAnsi="Arial"/>
          <w:b w:val="0"/>
          <w:i w:val="0"/>
          <w:sz w:val="28"/>
        </w:rPr>
        <w:t xml:space="preserve"> La parte actora, </w:t>
      </w:r>
      <w:r>
        <w:rPr>
          <w:rFonts w:ascii="Arial" w:hAnsi="Arial"/>
          <w:b/>
          <w:i w:val="0"/>
          <w:sz w:val="28"/>
        </w:rPr>
        <w:t>[NOMBRE DE LA PARTE ACTORA]</w:t>
      </w:r>
      <w:r>
        <w:rPr>
          <w:rFonts w:ascii="Arial" w:hAnsi="Arial"/>
          <w:b w:val="0"/>
          <w:i w:val="0"/>
          <w:sz w:val="28"/>
        </w:rPr>
        <w:t xml:space="preserve">, controvierte los actos del procedimiento administrativo de ejecución instaurado por la </w:t>
      </w:r>
      <w:r>
        <w:rPr>
          <w:rFonts w:ascii="Arial" w:hAnsi="Arial"/>
          <w:b/>
          <w:i w:val="0"/>
          <w:sz w:val="28"/>
        </w:rPr>
        <w:t>[AUTORIDAD DEMANDADA]</w:t>
      </w:r>
      <w:r>
        <w:rPr>
          <w:rFonts w:ascii="Arial" w:hAnsi="Arial"/>
          <w:b w:val="0"/>
          <w:i w:val="0"/>
          <w:sz w:val="28"/>
        </w:rPr>
        <w:t xml:space="preserve"> para exigir el pago del crédito fiscal </w:t>
      </w:r>
      <w:r>
        <w:rPr>
          <w:rFonts w:ascii="Arial" w:hAnsi="Arial"/>
          <w:b/>
          <w:i w:val="0"/>
          <w:sz w:val="28"/>
        </w:rPr>
        <w:t>[NÚMERO DEL CRÉDITO FISCAL]</w:t>
      </w:r>
      <w:r>
        <w:rPr>
          <w:rFonts w:ascii="Arial" w:hAnsi="Arial"/>
          <w:b w:val="0"/>
          <w:i w:val="0"/>
          <w:sz w:val="28"/>
        </w:rPr>
        <w:t>. El perjuicio es concreto y actual: se pretende cobrar coactivamente, con afectación directa e inmediata al patrimonio de la persona contribuyente, un crédito que la propia ley considera extinguido, lo que contraviene el artículo 146 del Código Fiscal de la Federación y coloca a la parte actora frente a una molestia carente de causa legal.</w:t>
      </w:r>
    </w:p>
    <w:p>
      <w:pPr>
        <w:spacing w:line="360" w:lineRule="auto"/>
        <w:jc w:val="both"/>
      </w:pPr>
      <w:r>
        <w:rPr>
          <w:rFonts w:ascii="Arial" w:hAnsi="Arial"/>
          <w:b w:val="0"/>
          <w:i w:val="0"/>
          <w:sz w:val="28"/>
        </w:rPr>
        <w:t>Cuando la parte actora ha negado lisa y llanamente conocer los actos del procedimiento coactivo, este concepto se hace valer en la ampliación de demanda, una vez que la autoridad exhibe las constancias respectivas, en términos del artículo 16, fracción II, de la Ley Federal de Procedimiento Contencioso Administrativo, precepto que obliga a la demandada a acompañar a su contestación la constancia de la resolución administrativa y la de su notificación.</w:t>
      </w:r>
    </w:p>
    <w:p>
      <w:pPr>
        <w:spacing w:line="360" w:lineRule="auto"/>
        <w:jc w:val="both"/>
      </w:pPr>
      <w:r>
        <w:rPr>
          <w:rFonts w:ascii="Arial" w:hAnsi="Arial"/>
          <w:b w:val="0"/>
          <w:i w:val="0"/>
          <w:sz w:val="28"/>
        </w:rPr>
        <w:t>Conviene precisar, además, que la prescripción se hace valer en esta vía como excepción y no como acción; por ello, esa Sala puede analizarla aun cuando la legalidad del crédito hubiera sido materia de un juicio anterior, pues se trata de una figura que se actualiza por el simple transcurso del tiempo y produce sus consecuencias jurídicas en el momento en que se consuma, y no antes, como lo ha reconocido la propia Sala en casos análogos.</w:t>
      </w:r>
    </w:p>
    <w:p>
      <w:pPr>
        <w:spacing w:line="360" w:lineRule="auto"/>
        <w:jc w:val="both"/>
      </w:pPr>
      <w:r>
        <w:rPr>
          <w:rFonts w:ascii="Arial" w:hAnsi="Arial"/>
          <w:b/>
          <w:i w:val="0"/>
          <w:sz w:val="28"/>
        </w:rPr>
        <w:t>III. Desarrollo normativo y doctrinal (premisa mayor).</w:t>
      </w:r>
      <w:r>
        <w:rPr>
          <w:rFonts w:ascii="Arial" w:hAnsi="Arial"/>
          <w:b w:val="0"/>
          <w:i w:val="0"/>
          <w:sz w:val="28"/>
        </w:rPr>
        <w:t xml:space="preserve"> El artículo 146, primer párrafo, del Código Fiscal de la Federación dispone que </w:t>
      </w:r>
      <w:r>
        <w:rPr>
          <w:rFonts w:ascii="Arial" w:hAnsi="Arial"/>
          <w:b w:val="0"/>
          <w:i/>
          <w:sz w:val="28"/>
        </w:rPr>
        <w:t>«el crédito fiscal se extingue por prescripción en el término de cinco años»</w:t>
      </w:r>
      <w:r>
        <w:rPr>
          <w:rFonts w:ascii="Arial" w:hAnsi="Arial"/>
          <w:b w:val="0"/>
          <w:i w:val="0"/>
          <w:sz w:val="28"/>
        </w:rPr>
        <w:t>. El propio precepto añade que el término inicia a partir de la fecha en que el pago pudo ser legalmente exigido, que la prescripción puede oponerse como excepción en los recursos administrativos y que el plazo se interrumpe con cada gestión de cobro que el acreedor notifique o haga saber al deudor, o bien por el reconocimiento expreso o tácito de éste respecto de la existencia del crédito.</w:t>
      </w:r>
    </w:p>
    <w:p>
      <w:pPr>
        <w:spacing w:line="360" w:lineRule="auto"/>
        <w:jc w:val="both"/>
      </w:pPr>
      <w:r>
        <w:rPr>
          <w:rFonts w:ascii="Arial" w:hAnsi="Arial"/>
          <w:b w:val="0"/>
          <w:i w:val="0"/>
          <w:sz w:val="28"/>
        </w:rPr>
        <w:t xml:space="preserve">La misma norma define la gestión de cobro como </w:t>
      </w:r>
      <w:r>
        <w:rPr>
          <w:rFonts w:ascii="Arial" w:hAnsi="Arial"/>
          <w:b w:val="0"/>
          <w:i/>
          <w:sz w:val="28"/>
        </w:rPr>
        <w:t>«cualquier actuación de la autoridad dentro del procedimiento administrativo de ejecución, siempre que se haga del conocimiento del deudor»</w:t>
      </w:r>
      <w:r>
        <w:rPr>
          <w:rFonts w:ascii="Arial" w:hAnsi="Arial"/>
          <w:b w:val="0"/>
          <w:i w:val="0"/>
          <w:sz w:val="28"/>
        </w:rPr>
        <w:t>. Esa condición final no es un accesorio, sino el núcleo de la institución: la actuación que permanece en el expediente administrativo, sin trascender a la esfera de la persona deudora, es jurídicamente inocua para efectos interruptores, por más que formalmente pertenezca al procedimiento económico coactivo.</w:t>
      </w:r>
    </w:p>
    <w:p>
      <w:pPr>
        <w:spacing w:line="360" w:lineRule="auto"/>
        <w:jc w:val="both"/>
      </w:pPr>
      <w:r>
        <w:rPr>
          <w:rFonts w:ascii="Arial" w:hAnsi="Arial"/>
          <w:b w:val="0"/>
          <w:i w:val="0"/>
          <w:sz w:val="28"/>
        </w:rPr>
        <w:t>La doctrina constitucional explica que las situaciones jurídicas consolidadas por prescripción o caducidad encuentran su fundamento en el principio de seguridad jurídica, valor que constituye un requisito fundamental para la paz social y para que las relaciones jurídicas se desarrollen en un clima de estabilidad.</w:t>
      </w:r>
      <w:r>
        <w:rPr>
          <w:rFonts w:ascii="Arial" w:hAnsi="Arial"/>
          <w:vertAlign w:val="superscript"/>
        </w:rPr>
        <w:t>1</w:t>
      </w:r>
      <w:r>
        <w:rPr>
          <w:rFonts w:ascii="Arial" w:hAnsi="Arial"/>
          <w:b w:val="0"/>
          <w:i w:val="0"/>
          <w:sz w:val="28"/>
        </w:rPr>
        <w:t xml:space="preserve"> Trasladado ese principio a la materia fiscal, resulta inadmisible que la autoridad mantenga viva de manera indefinida la amenaza del cobro coactivo mediante actuaciones internas que la persona contribuyente jamás conoció.</w:t>
      </w:r>
    </w:p>
    <w:p>
      <w:pPr>
        <w:spacing w:line="360" w:lineRule="auto"/>
        <w:jc w:val="both"/>
      </w:pPr>
      <w:r>
        <w:rPr>
          <w:rFonts w:ascii="Arial" w:hAnsi="Arial"/>
          <w:b w:val="0"/>
          <w:i w:val="0"/>
          <w:sz w:val="28"/>
        </w:rPr>
        <w:t>En cuanto al conocimiento del deudor, la doctrina procesal enseña que la notificación tiene como objetivo primordial que los hechos o actos acontecidos sin la presencia de los interesados sean conocidos por éstos, lo que posibilita la oportunidad de la defensa y el desahogo de las cargas procesales.</w:t>
      </w:r>
      <w:r>
        <w:rPr>
          <w:rFonts w:ascii="Arial" w:hAnsi="Arial"/>
          <w:vertAlign w:val="superscript"/>
        </w:rPr>
        <w:t>2</w:t>
      </w:r>
      <w:r>
        <w:rPr>
          <w:rFonts w:ascii="Arial" w:hAnsi="Arial"/>
          <w:b w:val="0"/>
          <w:i w:val="0"/>
          <w:sz w:val="28"/>
        </w:rPr>
        <w:t xml:space="preserve"> Por eso el legislador exigió que la gestión de cobro se notifique o se haga saber al deudor: sólo el conocimiento real del requerimiento coloca a la persona contribuyente en aptitud de pagar, garantizar el interés fiscal o defenderse, y sólo entonces se justifica reiniciar el cómputo del plazo extintivo.</w:t>
      </w:r>
    </w:p>
    <w:p>
      <w:pPr>
        <w:spacing w:line="360" w:lineRule="auto"/>
        <w:jc w:val="both"/>
      </w:pPr>
      <w:r>
        <w:rPr>
          <w:rFonts w:ascii="Arial" w:hAnsi="Arial"/>
          <w:b w:val="0"/>
          <w:i w:val="0"/>
          <w:sz w:val="28"/>
        </w:rPr>
        <w:t>Respecto de la carga de la prueba, la teoría procesal se ha inclinado por fijar el onus probandi sobre el supuesto de hecho de una norma a cargo de quien lo invoca en su beneficio.</w:t>
      </w:r>
      <w:r>
        <w:rPr>
          <w:rFonts w:ascii="Arial" w:hAnsi="Arial"/>
          <w:vertAlign w:val="superscript"/>
        </w:rPr>
        <w:t>3</w:t>
      </w:r>
      <w:r>
        <w:rPr>
          <w:rFonts w:ascii="Arial" w:hAnsi="Arial"/>
          <w:b w:val="0"/>
          <w:i w:val="0"/>
          <w:sz w:val="28"/>
        </w:rPr>
        <w:t xml:space="preserve"> Aplicada al caso, la regla es nítida: quien opone la prescripción prueba el transcurso del tiempo, que consta en las propias actuaciones, y quien afirma la interrupción o la suspensión del plazo debe acreditar sus supuestos, esto es, la notificación de la gestión de cobro, el reconocimiento del deudor o la causa suspensiva correspondiente.</w:t>
      </w:r>
    </w:p>
    <w:p>
      <w:pPr>
        <w:spacing w:line="360" w:lineRule="auto"/>
        <w:jc w:val="both"/>
      </w:pPr>
      <w:r>
        <w:rPr>
          <w:rFonts w:ascii="Arial" w:hAnsi="Arial"/>
          <w:b w:val="0"/>
          <w:i w:val="0"/>
          <w:sz w:val="28"/>
        </w:rPr>
        <w:t>Lo anterior se corrobora con el artículo 81 del Código Federal de Procedimientos Civiles, de aplicación supletoria a la ley de la materia, conforme al cual corresponde a quien se excepciona probar los hechos constitutivos de su excepción; de modo que, opuesta la prescripción, toca a la autoridad demandada exhibir las constancias que demuestren gestiones de cobro hechas del debido conocimiento de la parte actora dentro del plazo legal, como lo ha reconocido la Sala en casos análogos.</w:t>
      </w:r>
    </w:p>
    <w:p>
      <w:pPr>
        <w:spacing w:line="360" w:lineRule="auto"/>
        <w:jc w:val="both"/>
      </w:pPr>
      <w:r>
        <w:rPr>
          <w:rFonts w:ascii="Arial" w:hAnsi="Arial"/>
          <w:b w:val="0"/>
          <w:i w:val="0"/>
          <w:sz w:val="28"/>
        </w:rPr>
        <w:t>Finalmente, el artículo 16, primer párrafo, de la Constitución Política de los Estados Unidos Mexicanos establece que nadie puede ser molestado en su persona, familia, domicilio, papeles o posesiones sino en virtud de mandamiento escrito de la autoridad competente, que funde y motive la causa legal del procedimiento. El cobro coactivo de un crédito extinguido es, por definición, una molestia sin causa legal: el fundamento invocado por la ejecutora descansa en una obligación que ya no existe en la vida jurídica.</w:t>
      </w:r>
    </w:p>
    <w:p>
      <w:pPr>
        <w:spacing w:line="360" w:lineRule="auto"/>
        <w:jc w:val="both"/>
      </w:pPr>
      <w:r>
        <w:rPr>
          <w:rFonts w:ascii="Arial" w:hAnsi="Arial"/>
          <w:b/>
          <w:i w:val="0"/>
          <w:sz w:val="28"/>
        </w:rPr>
        <w:t>IV. Aplicación al caso concreto y refutación (premisa menor y subsunción).</w:t>
      </w:r>
      <w:r>
        <w:rPr>
          <w:rFonts w:ascii="Arial" w:hAnsi="Arial"/>
          <w:b w:val="0"/>
          <w:i w:val="0"/>
          <w:sz w:val="28"/>
        </w:rPr>
        <w:t xml:space="preserve"> La cronología del caso demuestra la consumación del plazo: la resolución determinante fue notificada el </w:t>
      </w:r>
      <w:r>
        <w:rPr>
          <w:rFonts w:ascii="Arial" w:hAnsi="Arial"/>
          <w:b/>
          <w:i w:val="0"/>
          <w:sz w:val="28"/>
        </w:rPr>
        <w:t>[FECHA DE NOTIFICACIÓN DE LA RESOLUCIÓN DETERMINANTE]</w:t>
      </w:r>
      <w:r>
        <w:rPr>
          <w:rFonts w:ascii="Arial" w:hAnsi="Arial"/>
          <w:b w:val="0"/>
          <w:i w:val="0"/>
          <w:sz w:val="28"/>
        </w:rPr>
        <w:t xml:space="preserve">; el pago pudo ser legalmente exigido a partir del </w:t>
      </w:r>
      <w:r>
        <w:rPr>
          <w:rFonts w:ascii="Arial" w:hAnsi="Arial"/>
          <w:b/>
          <w:i w:val="0"/>
          <w:sz w:val="28"/>
        </w:rPr>
        <w:t>[FECHA EN QUE EL PAGO PUDO SER LEGALMENTE EXIGIDO]</w:t>
      </w:r>
      <w:r>
        <w:rPr>
          <w:rFonts w:ascii="Arial" w:hAnsi="Arial"/>
          <w:b w:val="0"/>
          <w:i w:val="0"/>
          <w:sz w:val="28"/>
        </w:rPr>
        <w:t xml:space="preserve">, una vez transcurrido el plazo del artículo 65 del Código Fiscal de la Federación; la última causa de interrupción acreditada en autos ocurrió el </w:t>
      </w:r>
      <w:r>
        <w:rPr>
          <w:rFonts w:ascii="Arial" w:hAnsi="Arial"/>
          <w:b/>
          <w:i w:val="0"/>
          <w:sz w:val="28"/>
        </w:rPr>
        <w:t>[FECHA DE LA ÚLTIMA INTERRUPCIÓN ACREDITADA]</w:t>
      </w:r>
      <w:r>
        <w:rPr>
          <w:rFonts w:ascii="Arial" w:hAnsi="Arial"/>
          <w:b w:val="0"/>
          <w:i w:val="0"/>
          <w:sz w:val="28"/>
        </w:rPr>
        <w:t>.</w:t>
      </w:r>
    </w:p>
    <w:p>
      <w:pPr>
        <w:spacing w:line="360" w:lineRule="auto"/>
        <w:jc w:val="both"/>
      </w:pPr>
      <w:r>
        <w:rPr>
          <w:rFonts w:ascii="Arial" w:hAnsi="Arial"/>
          <w:b w:val="0"/>
          <w:i w:val="0"/>
          <w:sz w:val="28"/>
        </w:rPr>
        <w:t xml:space="preserve">A partir de esa última interrupción, el término corrió de nueva cuenta y se consumó el </w:t>
      </w:r>
      <w:r>
        <w:rPr>
          <w:rFonts w:ascii="Arial" w:hAnsi="Arial"/>
          <w:b/>
          <w:i w:val="0"/>
          <w:sz w:val="28"/>
        </w:rPr>
        <w:t>[FECHA EN QUE SE CONSUMÓ LA PRESCRIPCIÓN]</w:t>
      </w:r>
      <w:r>
        <w:rPr>
          <w:rFonts w:ascii="Arial" w:hAnsi="Arial"/>
          <w:b w:val="0"/>
          <w:i w:val="0"/>
          <w:sz w:val="28"/>
        </w:rPr>
        <w:t xml:space="preserve">, sin que en ese lapso la autoridad hubiera notificado o hecho saber a la parte actora gestión de cobro alguna. El primer acto del procedimiento coactivo que fue conocido por la parte actora es el oficio de inmovilización referido, del que tuvo noticia hasta el </w:t>
      </w:r>
      <w:r>
        <w:rPr>
          <w:rFonts w:ascii="Arial" w:hAnsi="Arial"/>
          <w:b/>
          <w:i w:val="0"/>
          <w:sz w:val="28"/>
        </w:rPr>
        <w:t>[FECHA EN QUE SE CONOCIÓ EL OFICIO DE INMOVILIZACIÓN]</w:t>
      </w:r>
      <w:r>
        <w:rPr>
          <w:rFonts w:ascii="Arial" w:hAnsi="Arial"/>
          <w:b w:val="0"/>
          <w:i w:val="0"/>
          <w:sz w:val="28"/>
        </w:rPr>
        <w:t>, esto es, después de consumado el plazo extintivo.</w:t>
      </w:r>
    </w:p>
    <w:p>
      <w:pPr>
        <w:spacing w:line="360" w:lineRule="auto"/>
        <w:jc w:val="both"/>
      </w:pPr>
      <w:r>
        <w:rPr>
          <w:rFonts w:ascii="Arial" w:hAnsi="Arial"/>
          <w:b w:val="0"/>
          <w:i w:val="0"/>
          <w:sz w:val="28"/>
        </w:rPr>
        <w:t xml:space="preserve">La subsunción es directa: si el artículo 146 del Código Fiscal de la Federación extingue el crédito por el transcurso del plazo legal contado desde su exigibilidad, y en el caso ese plazo corrió íntegro sin interrupción eficaz, el crédito </w:t>
      </w:r>
      <w:r>
        <w:rPr>
          <w:rFonts w:ascii="Arial" w:hAnsi="Arial"/>
          <w:b/>
          <w:i w:val="0"/>
          <w:sz w:val="28"/>
        </w:rPr>
        <w:t>[NÚMERO DEL CRÉDITO FISCAL]</w:t>
      </w:r>
      <w:r>
        <w:rPr>
          <w:rFonts w:ascii="Arial" w:hAnsi="Arial"/>
          <w:b w:val="0"/>
          <w:i w:val="0"/>
          <w:sz w:val="28"/>
        </w:rPr>
        <w:t xml:space="preserve"> se encuentra prescrito y ninguna actuación posterior puede revivirlo. Los actos de ejecución dictados con apoyo en un crédito extinguido actualizan la causal del artículo 51, fracción IV, de la ley de la materia, pues los hechos que motivaron la resolución no se realizaron como la autoridad los apreció y ésta dejó de aplicar las disposiciones debidas.</w:t>
      </w:r>
    </w:p>
    <w:p>
      <w:pPr>
        <w:spacing w:line="360" w:lineRule="auto"/>
        <w:jc w:val="both"/>
      </w:pPr>
      <w:r>
        <w:rPr>
          <w:rFonts w:ascii="Arial" w:hAnsi="Arial"/>
          <w:b w:val="0"/>
          <w:i w:val="0"/>
          <w:sz w:val="28"/>
        </w:rPr>
        <w:t>Con el propósito de cerrar todo margen de defensa, se refutan enseguida los argumentos típicos de la autoridad. En primer término, suele sostenerse que el plazo se interrumpió con el mandamiento de ejecución o con el acta de requerimiento que obran en el expediente administrativo, aunque tales actuaciones nunca se hayan notificado. Ese razonamiento incurre en la falacia de non sequitur, denominación genérica de los argumentos en los que la conclusión no se sigue de las premisas.</w:t>
      </w:r>
      <w:r>
        <w:rPr>
          <w:rFonts w:ascii="Arial" w:hAnsi="Arial"/>
          <w:vertAlign w:val="superscript"/>
        </w:rPr>
        <w:t>4</w:t>
      </w:r>
    </w:p>
    <w:p>
      <w:pPr>
        <w:spacing w:line="360" w:lineRule="auto"/>
        <w:jc w:val="both"/>
      </w:pPr>
      <w:r>
        <w:rPr>
          <w:rFonts w:ascii="Arial" w:hAnsi="Arial"/>
          <w:b w:val="0"/>
          <w:i w:val="0"/>
          <w:sz w:val="28"/>
        </w:rPr>
        <w:t xml:space="preserve">En efecto, de la premisa </w:t>
      </w:r>
      <w:r>
        <w:rPr>
          <w:rFonts w:ascii="Arial" w:hAnsi="Arial"/>
          <w:b w:val="0"/>
          <w:i/>
          <w:sz w:val="28"/>
        </w:rPr>
        <w:t>«existe un mandamiento de ejecución agregado al expediente»</w:t>
      </w:r>
      <w:r>
        <w:rPr>
          <w:rFonts w:ascii="Arial" w:hAnsi="Arial"/>
          <w:b w:val="0"/>
          <w:i w:val="0"/>
          <w:sz w:val="28"/>
        </w:rPr>
        <w:t xml:space="preserve"> no se sigue la conclusión </w:t>
      </w:r>
      <w:r>
        <w:rPr>
          <w:rFonts w:ascii="Arial" w:hAnsi="Arial"/>
          <w:b w:val="0"/>
          <w:i/>
          <w:sz w:val="28"/>
        </w:rPr>
        <w:t>«el plazo de prescripción se interrumpió»</w:t>
      </w:r>
      <w:r>
        <w:rPr>
          <w:rFonts w:ascii="Arial" w:hAnsi="Arial"/>
          <w:b w:val="0"/>
          <w:i w:val="0"/>
          <w:sz w:val="28"/>
        </w:rPr>
        <w:t>, porque la norma exige un elemento adicional cuya carga probatoria pesa sobre la autoridad: que la actuación se haya hecho del conocimiento del deudor. La doctrina aplica esa denominación, en sentido amplio, a cualquier razonamiento inconsecuente en el que la conclusión no se deduce de las premisas, y eso es exactamente lo que ocurre con la defensa examinada.</w:t>
      </w:r>
      <w:r>
        <w:rPr>
          <w:rFonts w:ascii="Arial" w:hAnsi="Arial"/>
          <w:vertAlign w:val="superscript"/>
        </w:rPr>
        <w:t>5</w:t>
      </w:r>
    </w:p>
    <w:p>
      <w:pPr>
        <w:spacing w:line="360" w:lineRule="auto"/>
        <w:jc w:val="both"/>
      </w:pPr>
      <w:r>
        <w:rPr>
          <w:rFonts w:ascii="Arial" w:hAnsi="Arial"/>
          <w:b w:val="0"/>
          <w:i w:val="0"/>
          <w:sz w:val="28"/>
        </w:rPr>
        <w:t>Más aún: si el acta circunstanciada relativa hace constar que la persona buscada no fue localizada en el domicilio visitado, ese documento demuestra exactamente lo contrario de lo que la autoridad pretende, pues acredita que la diligencia no llegó a su destinataria y que, por lo mismo, no hubo gestión de cobro eficaz. Pretender derivar la interrupción del plazo de una constancia que niega el conocimiento del deudor equivale a extraer de la prueba la conclusión que la prueba misma excluye.</w:t>
      </w:r>
    </w:p>
    <w:p>
      <w:pPr>
        <w:spacing w:line="360" w:lineRule="auto"/>
        <w:jc w:val="both"/>
      </w:pPr>
      <w:r>
        <w:rPr>
          <w:rFonts w:ascii="Arial" w:hAnsi="Arial"/>
          <w:b w:val="0"/>
          <w:i w:val="0"/>
          <w:sz w:val="28"/>
        </w:rPr>
        <w:t>En segundo término, la autoridad suele escudarse en la presunción de legalidad de los actos administrativos para sostener, sin constancias de notificación, que sus gestiones de cobro surtieron efectos interruptores. Con ello incurre en una petición de principio, pues postula como demostrado precisamente aquello que debe demostrar, y demostrar por sí mismo lo que no está claro ni es conocido equivale, sencillamente, a no demostrar.</w:t>
      </w:r>
      <w:r>
        <w:rPr>
          <w:rFonts w:ascii="Arial" w:hAnsi="Arial"/>
          <w:vertAlign w:val="superscript"/>
        </w:rPr>
        <w:t>6</w:t>
      </w:r>
      <w:r>
        <w:rPr>
          <w:rFonts w:ascii="Arial" w:hAnsi="Arial"/>
          <w:b w:val="0"/>
          <w:i w:val="0"/>
          <w:sz w:val="28"/>
        </w:rPr>
        <w:t xml:space="preserve"> La eficacia interruptora de una gestión de cobro no se presume: se prueba con las constancias de su notificación, y la omisión de exhibirlas sólo perjudica a quien tenía la carga de aportarlas.</w:t>
      </w:r>
    </w:p>
    <w:p>
      <w:pPr>
        <w:spacing w:line="360" w:lineRule="auto"/>
        <w:jc w:val="both"/>
      </w:pPr>
      <w:r>
        <w:rPr>
          <w:rFonts w:ascii="Arial" w:hAnsi="Arial"/>
          <w:b w:val="0"/>
          <w:i w:val="0"/>
          <w:sz w:val="28"/>
        </w:rPr>
        <w:t>En tercer término, tampoco puede prosperar la defensa consistente en que el plazo se suspendió porque el notificador no localizó a la persona contribuyente. En lo que a esa defensa interesa, el propio artículo 146 únicamente suspende el término cuando el contribuyente hubiera desocupado su domicilio fiscal sin presentar el aviso de cambio correspondiente o cuando hubiere señalado un domicilio incorrecto, supuestos que la autoridad debe acreditar plenamente y que no se satisfacen con la sola manifestación asentada en un acta de que la persona buscada no fue encontrada.</w:t>
      </w:r>
    </w:p>
    <w:p>
      <w:pPr>
        <w:spacing w:line="360" w:lineRule="auto"/>
        <w:jc w:val="both"/>
      </w:pPr>
      <w:r>
        <w:rPr>
          <w:rFonts w:ascii="Arial" w:hAnsi="Arial"/>
          <w:b w:val="0"/>
          <w:i w:val="0"/>
          <w:sz w:val="28"/>
        </w:rPr>
        <w:t>En cuarto término, si se pretendiera atribuir al propio oficio de inmovilización el carácter de gestión de cobro interruptora, bastaría observar que fue conocido por la parte actora después de consumado el plazo extintivo, y un término consumado no puede interrumpirse retroactivamente, porque la interrupción presupone, por definición, un plazo en curso.</w:t>
      </w:r>
    </w:p>
    <w:p>
      <w:pPr>
        <w:spacing w:line="360" w:lineRule="auto"/>
        <w:jc w:val="both"/>
      </w:pPr>
      <w:r>
        <w:rPr>
          <w:rFonts w:ascii="Arial" w:hAnsi="Arial"/>
          <w:b w:val="0"/>
          <w:i w:val="0"/>
          <w:sz w:val="28"/>
        </w:rPr>
        <w:t>A ello se suma que el propio artículo 146 faculta a la autoridad recaudadora a declarar de oficio la prescripción de los créditos fiscales; en el caso, en lugar de declararla, la ejecutora ordenó el cobro, con lo que invirtió el sentido de la norma que estaba obligada a aplicar.</w:t>
      </w:r>
    </w:p>
    <w:p>
      <w:pPr>
        <w:spacing w:line="360" w:lineRule="auto"/>
        <w:jc w:val="both"/>
      </w:pPr>
      <w:r>
        <w:rPr>
          <w:rFonts w:ascii="Arial" w:hAnsi="Arial"/>
          <w:b/>
          <w:i w:val="0"/>
          <w:sz w:val="28"/>
        </w:rPr>
        <w:t>V. Conclusión y petición parcial.</w:t>
      </w:r>
      <w:r>
        <w:rPr>
          <w:rFonts w:ascii="Arial" w:hAnsi="Arial"/>
          <w:b w:val="0"/>
          <w:i w:val="0"/>
          <w:sz w:val="28"/>
        </w:rPr>
        <w:t xml:space="preserve"> Ha quedado demostrado que el crédito fiscal </w:t>
      </w:r>
      <w:r>
        <w:rPr>
          <w:rFonts w:ascii="Arial" w:hAnsi="Arial"/>
          <w:b/>
          <w:i w:val="0"/>
          <w:sz w:val="28"/>
        </w:rPr>
        <w:t>[NÚMERO DEL CRÉDITO FISCAL]</w:t>
      </w:r>
      <w:r>
        <w:rPr>
          <w:rFonts w:ascii="Arial" w:hAnsi="Arial"/>
          <w:b w:val="0"/>
          <w:i w:val="0"/>
          <w:sz w:val="28"/>
        </w:rPr>
        <w:t xml:space="preserve"> se extinguió por prescripción antes de que la autoridad realizara acto de cobro alguno hecho del conocimiento de la parte actora, de manera que la inmovilización de la cuenta bancaria </w:t>
      </w:r>
      <w:r>
        <w:rPr>
          <w:rFonts w:ascii="Arial" w:hAnsi="Arial"/>
          <w:b/>
          <w:i w:val="0"/>
          <w:sz w:val="28"/>
        </w:rPr>
        <w:t>[NÚMERO DE LA CUENTA BANCARIA INMOVILIZADA]</w:t>
      </w:r>
      <w:r>
        <w:rPr>
          <w:rFonts w:ascii="Arial" w:hAnsi="Arial"/>
          <w:b w:val="0"/>
          <w:i w:val="0"/>
          <w:sz w:val="28"/>
        </w:rPr>
        <w:t xml:space="preserve"> y las demás actuaciones del procedimiento administrativo de ejecución carecen de sustento jurídico y son ilegales en cuanto al fondo.</w:t>
      </w:r>
    </w:p>
    <w:p>
      <w:pPr>
        <w:spacing w:line="360" w:lineRule="auto"/>
        <w:jc w:val="both"/>
      </w:pPr>
      <w:r>
        <w:rPr>
          <w:rFonts w:ascii="Arial" w:hAnsi="Arial"/>
          <w:b w:val="0"/>
          <w:i w:val="0"/>
          <w:sz w:val="28"/>
        </w:rPr>
        <w:t xml:space="preserve">Por lo anterior, con fundamento en los artículos 50, segundo párrafo, 51, fracción IV, y 52, fracción II, de la Ley Federal de Procedimiento Contencioso Administrativo, atento al principio de mayor beneficio, solicito a esa </w:t>
      </w:r>
      <w:r>
        <w:rPr>
          <w:rFonts w:ascii="Arial" w:hAnsi="Arial"/>
          <w:b/>
          <w:i w:val="0"/>
          <w:sz w:val="28"/>
        </w:rPr>
        <w:t>[SALA REGIONAL COMPETENTE]</w:t>
      </w:r>
      <w:r>
        <w:rPr>
          <w:rFonts w:ascii="Arial" w:hAnsi="Arial"/>
          <w:b w:val="0"/>
          <w:i w:val="0"/>
          <w:sz w:val="28"/>
        </w:rPr>
        <w:t xml:space="preserve"> declarar la nulidad lisa y llana de los actos impugnados y reconocer que ha operado la prescripción del crédito fiscal de referencia.</w:t>
      </w:r>
    </w:p>
    <w:p>
      <w:pPr>
        <w:spacing w:line="360" w:lineRule="auto"/>
        <w:jc w:val="both"/>
      </w:pPr>
      <w:r>
        <w:rPr>
          <w:rFonts w:ascii="Arial" w:hAnsi="Arial"/>
          <w:b w:val="0"/>
          <w:i w:val="0"/>
          <w:sz w:val="28"/>
        </w:rPr>
        <w:t xml:space="preserve">Asimismo, solicito ordenar a la </w:t>
      </w:r>
      <w:r>
        <w:rPr>
          <w:rFonts w:ascii="Arial" w:hAnsi="Arial"/>
          <w:b/>
          <w:i w:val="0"/>
          <w:sz w:val="28"/>
        </w:rPr>
        <w:t>[AUTORIDAD DEMANDADA]</w:t>
      </w:r>
      <w:r>
        <w:rPr>
          <w:rFonts w:ascii="Arial" w:hAnsi="Arial"/>
          <w:b w:val="0"/>
          <w:i w:val="0"/>
          <w:sz w:val="28"/>
        </w:rPr>
        <w:t xml:space="preserve"> que deje sin efectos la inmovilización decretada y libere de inmediato los recursos de la cuenta bancaria de la parte actora, restituyéndola en el pleno goce de sus derechos.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271.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1561.</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BARRANCO DE BUSANICHE, Graciela; SUÁREZ, Eloy Emiliano (comp.), </w:t>
      </w:r>
      <w:r>
        <w:rPr>
          <w:rFonts w:ascii="Arial" w:hAnsi="Arial"/>
          <w:i/>
          <w:sz w:val="20"/>
        </w:rPr>
        <w:t>Argumentación jurídica y constitucionalismo</w:t>
      </w:r>
      <w:r>
        <w:rPr>
          <w:rFonts w:ascii="Arial" w:hAnsi="Arial"/>
          <w:i w:val="0"/>
          <w:sz w:val="20"/>
        </w:rPr>
        <w:t>, UNL, Santa Fe, 2020, p. 34.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165.</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
      <w:r>
        <w:rPr>
          <w:rFonts w:ascii="Arial" w:hAnsi="Arial"/>
          <w:b/>
          <w:sz w:val="22"/>
        </w:rPr>
        <w:t>BIBLIOGRAFÍA</w:t>
      </w:r>
    </w:p>
    <w:p>
      <w:pPr>
        <w:spacing w:after="60"/>
        <w:ind w:left="360" w:hanging="360"/>
        <w:jc w:val="both"/>
      </w:pPr>
      <w:r>
        <w:rPr>
          <w:rFonts w:ascii="Arial" w:hAnsi="Arial"/>
          <w:i w:val="0"/>
          <w:sz w:val="20"/>
        </w:rPr>
        <w:t xml:space="preserve">BARRANCO DE BUSANICHE, Graciela; SUÁREZ, Eloy Emiliano (comp.), </w:t>
      </w:r>
      <w:r>
        <w:rPr>
          <w:rFonts w:ascii="Arial" w:hAnsi="Arial"/>
          <w:i/>
          <w:sz w:val="20"/>
        </w:rPr>
        <w:t>Argumentación jurídica y constitucionalismo</w:t>
      </w:r>
      <w:r>
        <w:rPr>
          <w:rFonts w:ascii="Arial" w:hAnsi="Arial"/>
          <w:i w:val="0"/>
          <w:sz w:val="20"/>
        </w:rPr>
        <w:t>, UNL, Santa Fe, 2020.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