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ATIPICIDAD DE LA MULTA POR PRESENTACIÓN EXTEMPORÁNEA DE LA DECLARACIÓN</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 xml:space="preserve">Descarga el machote, léelo completo y verifica primero que tu multa describa la infracción como </w:t>
      </w:r>
      <w:r>
        <w:rPr>
          <w:rFonts w:ascii="Arial" w:hAnsi="Arial"/>
          <w:b w:val="0"/>
          <w:i/>
          <w:sz w:val="24"/>
        </w:rPr>
        <w:t>“presentación extemporánea de la declaración”</w:t>
      </w:r>
      <w:r>
        <w:rPr>
          <w:rFonts w:ascii="Arial" w:hAnsi="Arial"/>
          <w:b w:val="0"/>
          <w:i w:val="0"/>
          <w:sz w:val="24"/>
        </w:rPr>
        <w:t xml:space="preserve"> realizada después de notificado un requerimiento y que se funde en los artículos 81, fracción I, y 82, fracción I, inciso b), del Código Fiscal de la Federación; si la multa describe el incumplimiento del requerimiento o su cumplimiento fuera del plazo fijado en él, este concepto pierde fuerza y conviene replantearlo.</w:t>
      </w:r>
    </w:p>
    <w:p>
      <w:pPr>
        <w:spacing w:line="360" w:lineRule="auto"/>
        <w:jc w:val="both"/>
      </w:pPr>
      <w:r>
        <w:rPr>
          <w:rFonts w:ascii="Arial" w:hAnsi="Arial"/>
          <w:b w:val="0"/>
          <w:i w:val="0"/>
          <w:sz w:val="24"/>
        </w:rPr>
        <w:t>Después llena los campos editables con los datos de la multa, del requerimiento y de tu acuse, coteja la transcripción contra el documento original y elimina los párrafos que no correspondan a tu caso. Coloca este concepto antes de los de forma, porque es el que puede dar la nulidad lisa y llana. Recuerda que la demanda se presenta dentro de los treinta días siguientes a aquél en que surta efectos la notificación: en la vía ordinaria lo dispone el artículo 13, fracción I, de la Ley Federal de Procedimiento Contencioso Administrativo, y en la sumaria, que procede, entre otros casos, contra multas cuyo importe no exceda de treinta veces la UMA elevada al año, el artículo 58-2, párrafo tercero.</w:t>
      </w:r>
    </w:p>
    <w:p>
      <w:pPr>
        <w:spacing w:line="360" w:lineRule="auto"/>
        <w:jc w:val="both"/>
      </w:pPr>
      <w:r>
        <w:rPr>
          <w:rFonts w:ascii="Arial" w:hAnsi="Arial"/>
          <w:b w:val="0"/>
          <w:i w:val="0"/>
          <w:sz w:val="24"/>
        </w:rPr>
        <w:t>Si niegas conocer el requerimiento, prepárate para ampliar la demanda contra su notificación cuando la autoridad lo exhiba al contestar, pues en el caso que inspira este machote la negativa se tuvo por desvirtuada con copias certificadas y el derecho a ampliar precluyó.</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 colócalo antes de los conceptos de forma para pedir su estudio preferente.</w:t>
      </w:r>
    </w:p>
    <w:p>
      <w:pPr>
        <w:spacing w:line="360" w:lineRule="auto"/>
        <w:jc w:val="both"/>
      </w:pPr>
      <w:r>
        <w:rPr>
          <w:rFonts w:ascii="Arial" w:hAnsi="Arial"/>
          <w:b/>
          <w:i w:val="0"/>
          <w:sz w:val="24"/>
        </w:rPr>
        <w:t>[NOMBRE O DENOMINACIÓN DE LA PARTE ACTORA]</w:t>
      </w:r>
      <w:r>
        <w:rPr>
          <w:rFonts w:ascii="Arial" w:hAnsi="Arial"/>
          <w:b w:val="0"/>
          <w:i w:val="0"/>
          <w:sz w:val="24"/>
        </w:rPr>
        <w:t>: nombre completo de la persona física o denominación de la persona moral sancionada.</w:t>
      </w:r>
    </w:p>
    <w:p>
      <w:pPr>
        <w:spacing w:line="360" w:lineRule="auto"/>
        <w:jc w:val="both"/>
      </w:pPr>
      <w:r>
        <w:rPr>
          <w:rFonts w:ascii="Arial" w:hAnsi="Arial"/>
          <w:b/>
          <w:i w:val="0"/>
          <w:sz w:val="24"/>
        </w:rPr>
        <w:t>[AUTORIDAD DEMANDADA]</w:t>
      </w:r>
      <w:r>
        <w:rPr>
          <w:rFonts w:ascii="Arial" w:hAnsi="Arial"/>
          <w:b w:val="0"/>
          <w:i w:val="0"/>
          <w:sz w:val="24"/>
        </w:rPr>
        <w:t>: la unidad que emitió la multa con su denominación completa, por ejemplo la recaudación o la oficina de hacienda estatal que actúa con facultades coordinadas, o la administración desconcentrada del SAT.</w:t>
      </w:r>
    </w:p>
    <w:p>
      <w:pPr>
        <w:spacing w:line="360" w:lineRule="auto"/>
        <w:jc w:val="both"/>
      </w:pPr>
      <w:r>
        <w:rPr>
          <w:rFonts w:ascii="Arial" w:hAnsi="Arial"/>
          <w:b/>
          <w:i w:val="0"/>
          <w:sz w:val="24"/>
        </w:rPr>
        <w:t>[NÚMERO DE CRÉDITO FISCAL DE LA MULTA IMPUGNADA]</w:t>
      </w:r>
      <w:r>
        <w:rPr>
          <w:rFonts w:ascii="Arial" w:hAnsi="Arial"/>
          <w:b w:val="0"/>
          <w:i w:val="0"/>
          <w:sz w:val="24"/>
        </w:rPr>
        <w:t>: el número de crédito que trae la multa por obligaciones omitidas que impugnas.</w:t>
      </w:r>
    </w:p>
    <w:p>
      <w:pPr>
        <w:spacing w:line="360" w:lineRule="auto"/>
        <w:jc w:val="both"/>
      </w:pPr>
      <w:r>
        <w:rPr>
          <w:rFonts w:ascii="Arial" w:hAnsi="Arial"/>
          <w:b/>
          <w:i w:val="0"/>
          <w:sz w:val="24"/>
        </w:rPr>
        <w:t>[FECHA DE LA MULTA IMPUGNADA]</w:t>
      </w:r>
      <w:r>
        <w:rPr>
          <w:rFonts w:ascii="Arial" w:hAnsi="Arial"/>
          <w:b w:val="0"/>
          <w:i w:val="0"/>
          <w:sz w:val="24"/>
        </w:rPr>
        <w:t>: la fecha de emisión que aparece en la resolución.</w:t>
      </w:r>
    </w:p>
    <w:p>
      <w:pPr>
        <w:spacing w:line="360" w:lineRule="auto"/>
        <w:jc w:val="both"/>
      </w:pPr>
      <w:r>
        <w:rPr>
          <w:rFonts w:ascii="Arial" w:hAnsi="Arial"/>
          <w:b/>
          <w:i w:val="0"/>
          <w:sz w:val="24"/>
        </w:rPr>
        <w:t>[FECHA DE NOTIFICACIÓN DE LA MULTA IMPUGNADA]</w:t>
      </w:r>
      <w:r>
        <w:rPr>
          <w:rFonts w:ascii="Arial" w:hAnsi="Arial"/>
          <w:b w:val="0"/>
          <w:i w:val="0"/>
          <w:sz w:val="24"/>
        </w:rPr>
        <w:t>: el día en que se practicó la notificación; de ella depende el cómputo del plazo para demandar.</w:t>
      </w:r>
    </w:p>
    <w:p>
      <w:pPr>
        <w:spacing w:line="360" w:lineRule="auto"/>
        <w:jc w:val="both"/>
      </w:pPr>
      <w:r>
        <w:rPr>
          <w:rFonts w:ascii="Arial" w:hAnsi="Arial"/>
          <w:b/>
          <w:i w:val="0"/>
          <w:sz w:val="24"/>
        </w:rPr>
        <w:t>[MONTO DE LA MULTA IMPUGNADA]</w:t>
      </w:r>
      <w:r>
        <w:rPr>
          <w:rFonts w:ascii="Arial" w:hAnsi="Arial"/>
          <w:b w:val="0"/>
          <w:i w:val="0"/>
          <w:sz w:val="24"/>
        </w:rPr>
        <w:t>: la cantidad impuesta, con número y letra.</w:t>
      </w:r>
    </w:p>
    <w:p>
      <w:pPr>
        <w:spacing w:line="360" w:lineRule="auto"/>
        <w:jc w:val="both"/>
      </w:pPr>
      <w:r>
        <w:rPr>
          <w:rFonts w:ascii="Arial" w:hAnsi="Arial"/>
          <w:b/>
          <w:i w:val="0"/>
          <w:sz w:val="24"/>
        </w:rPr>
        <w:t>[NÚMERO DE CONTROL DEL REQUERIMIENTO]</w:t>
      </w:r>
      <w:r>
        <w:rPr>
          <w:rFonts w:ascii="Arial" w:hAnsi="Arial"/>
          <w:b w:val="0"/>
          <w:i w:val="0"/>
          <w:sz w:val="24"/>
        </w:rPr>
        <w:t>: el número de control del requerimiento de obligaciones omitidas del que deriva la multa.</w:t>
      </w:r>
    </w:p>
    <w:p>
      <w:pPr>
        <w:spacing w:line="360" w:lineRule="auto"/>
        <w:jc w:val="both"/>
      </w:pPr>
      <w:r>
        <w:rPr>
          <w:rFonts w:ascii="Arial" w:hAnsi="Arial"/>
          <w:b/>
          <w:i w:val="0"/>
          <w:sz w:val="24"/>
        </w:rPr>
        <w:t>[FECHA DEL REQUERIMIENTO]</w:t>
      </w:r>
      <w:r>
        <w:rPr>
          <w:rFonts w:ascii="Arial" w:hAnsi="Arial"/>
          <w:b w:val="0"/>
          <w:i w:val="0"/>
          <w:sz w:val="24"/>
        </w:rPr>
        <w:t>: la fecha de emisión de ese requerimiento.</w:t>
      </w:r>
    </w:p>
    <w:p>
      <w:pPr>
        <w:spacing w:line="360" w:lineRule="auto"/>
        <w:jc w:val="both"/>
      </w:pPr>
      <w:r>
        <w:rPr>
          <w:rFonts w:ascii="Arial" w:hAnsi="Arial"/>
          <w:b/>
          <w:i w:val="0"/>
          <w:sz w:val="24"/>
        </w:rPr>
        <w:t>[DECLARACIÓN, PERIODO Y CONTRIBUCIÓN REQUERIDOS]</w:t>
      </w:r>
      <w:r>
        <w:rPr>
          <w:rFonts w:ascii="Arial" w:hAnsi="Arial"/>
          <w:b w:val="0"/>
          <w:i w:val="0"/>
          <w:sz w:val="24"/>
        </w:rPr>
        <w:t>: la obligación requerida tal como la describe el requerimiento, por ejemplo la declaración mensual de IVA de un mes y ejercicio concretos.</w:t>
      </w:r>
    </w:p>
    <w:p>
      <w:pPr>
        <w:spacing w:line="360" w:lineRule="auto"/>
        <w:jc w:val="both"/>
      </w:pPr>
      <w:r>
        <w:rPr>
          <w:rFonts w:ascii="Arial" w:hAnsi="Arial"/>
          <w:b/>
          <w:i w:val="0"/>
          <w:sz w:val="24"/>
        </w:rPr>
        <w:t>[TRANSCRIPCIÓN LITERAL DE LA CONDUCTA DESCRITA EN LA MULTA]</w:t>
      </w:r>
      <w:r>
        <w:rPr>
          <w:rFonts w:ascii="Arial" w:hAnsi="Arial"/>
          <w:b w:val="0"/>
          <w:i w:val="0"/>
          <w:sz w:val="24"/>
        </w:rPr>
        <w:t>: copia palabra por palabra el párrafo de la multa que describe la infracción, con sus erratas y espacios en blanco; es la pieza que sostiene todo el concepto.</w:t>
      </w:r>
    </w:p>
    <w:p>
      <w:pPr>
        <w:spacing w:line="360" w:lineRule="auto"/>
        <w:jc w:val="both"/>
      </w:pPr>
      <w:r>
        <w:rPr>
          <w:rFonts w:ascii="Arial" w:hAnsi="Arial"/>
          <w:b/>
          <w:i w:val="0"/>
          <w:sz w:val="24"/>
        </w:rPr>
        <w:t>[PRECEPTOS INVOCADOS EN LA MULTA]</w:t>
      </w:r>
      <w:r>
        <w:rPr>
          <w:rFonts w:ascii="Arial" w:hAnsi="Arial"/>
          <w:b w:val="0"/>
          <w:i w:val="0"/>
          <w:sz w:val="24"/>
        </w:rPr>
        <w:t>: la lista completa de artículos, párrafos, fracciones e incisos que la multa cita como fundamento de la sanción.</w:t>
      </w:r>
    </w:p>
    <w:p>
      <w:pPr>
        <w:spacing w:line="360" w:lineRule="auto"/>
        <w:jc w:val="both"/>
      </w:pPr>
      <w:r>
        <w:rPr>
          <w:rFonts w:ascii="Arial" w:hAnsi="Arial"/>
          <w:b/>
          <w:i w:val="0"/>
          <w:sz w:val="24"/>
        </w:rPr>
        <w:t>[FECHA EN QUE SE PRESENTÓ LA DECLARACIÓN]</w:t>
      </w:r>
      <w:r>
        <w:rPr>
          <w:rFonts w:ascii="Arial" w:hAnsi="Arial"/>
          <w:b w:val="0"/>
          <w:i w:val="0"/>
          <w:sz w:val="24"/>
        </w:rPr>
        <w:t>: la fecha de presentación según tu acuse; si no la tienes, elimina la oración final de ese párrafo, y si tu multa sí precisa ese día, elimina el párrafo completo.</w:t>
      </w:r>
    </w:p>
    <w:p>
      <w:pPr>
        <w:spacing w:line="360" w:lineRule="auto"/>
        <w:jc w:val="both"/>
      </w:pPr>
      <w:r>
        <w:rPr>
          <w:rFonts w:ascii="Arial" w:hAnsi="Arial"/>
          <w:b/>
          <w:i w:val="0"/>
          <w:sz w:val="24"/>
        </w:rPr>
        <w:t>[NÚMERO DE CRÉDITO DE LA MULTA POR INCUMPLIMIENTO DEL MISMO REQUERIMIENTO]</w:t>
      </w:r>
      <w:r>
        <w:rPr>
          <w:rFonts w:ascii="Arial" w:hAnsi="Arial"/>
          <w:b w:val="0"/>
          <w:i w:val="0"/>
          <w:sz w:val="24"/>
        </w:rPr>
        <w:t>: si por el mismo requerimiento te impusieron otra multa por incumplimiento, su número de crédito; si no existe, elimina el párrafo completo.</w:t>
      </w:r>
    </w:p>
    <w:p/>
    <w:p>
      <w:pPr>
        <w:spacing w:line="360" w:lineRule="auto"/>
        <w:jc w:val="both"/>
      </w:pPr>
      <w:r>
        <w:rPr>
          <w:rFonts w:ascii="Arial" w:hAnsi="Arial"/>
          <w:b/>
          <w:sz w:val="28"/>
        </w:rPr>
        <w:t>[NÚMERO ORDINAL DEL CONCEPTO] CONCEPTO DE IMPUGNACIÓN. Atipicidad de la conducta sancionada. La multa por obligaciones omitidas federales castiga la “presentación extemporánea de la declaración” realizada después de notificado un requerimiento, comportamiento que no corresponde a ninguna de las hipótesis del artículo 81, fracción I, del Código Fiscal de la Federación, por lo que se actualiza la cuarta causal de ilegalidad del numeral 51 de la Ley Federal de Procedimiento Contencioso Administrativo y procede la nulidad lisa y llana.</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multa contenida en el crédito fiscal </w:t>
      </w:r>
      <w:r>
        <w:rPr>
          <w:rFonts w:ascii="Arial" w:hAnsi="Arial"/>
          <w:b/>
          <w:i w:val="0"/>
          <w:sz w:val="28"/>
        </w:rPr>
        <w:t>[NÚMERO DE CRÉDITO FISCAL DE LA MULTA IMPUGNADA]</w:t>
      </w:r>
      <w:r>
        <w:rPr>
          <w:rFonts w:ascii="Arial" w:hAnsi="Arial"/>
          <w:b w:val="0"/>
          <w:i w:val="0"/>
          <w:sz w:val="28"/>
        </w:rPr>
        <w:t xml:space="preserve">, de </w:t>
      </w:r>
      <w:r>
        <w:rPr>
          <w:rFonts w:ascii="Arial" w:hAnsi="Arial"/>
          <w:b/>
          <w:i w:val="0"/>
          <w:sz w:val="28"/>
        </w:rPr>
        <w:t>[FECHA DE LA MULTA IMPUGNADA]</w:t>
      </w:r>
      <w:r>
        <w:rPr>
          <w:rFonts w:ascii="Arial" w:hAnsi="Arial"/>
          <w:b w:val="0"/>
          <w:i w:val="0"/>
          <w:sz w:val="28"/>
        </w:rPr>
        <w:t xml:space="preserve">, con la cual </w:t>
      </w:r>
      <w:r>
        <w:rPr>
          <w:rFonts w:ascii="Arial" w:hAnsi="Arial"/>
          <w:b/>
          <w:i w:val="0"/>
          <w:sz w:val="28"/>
        </w:rPr>
        <w:t>[AUTORIDAD DEMANDADA]</w:t>
      </w:r>
      <w:r>
        <w:rPr>
          <w:rFonts w:ascii="Arial" w:hAnsi="Arial"/>
          <w:b w:val="0"/>
          <w:i w:val="0"/>
          <w:sz w:val="28"/>
        </w:rPr>
        <w:t xml:space="preserve"> sancionó a </w:t>
      </w:r>
      <w:r>
        <w:rPr>
          <w:rFonts w:ascii="Arial" w:hAnsi="Arial"/>
          <w:b/>
          <w:i w:val="0"/>
          <w:sz w:val="28"/>
        </w:rPr>
        <w:t>[NOMBRE O DENOMINACIÓN DE LA PARTE ACTORA]</w:t>
      </w:r>
      <w:r>
        <w:rPr>
          <w:rFonts w:ascii="Arial" w:hAnsi="Arial"/>
          <w:b w:val="0"/>
          <w:i w:val="0"/>
          <w:sz w:val="28"/>
        </w:rPr>
        <w:t xml:space="preserve"> por </w:t>
      </w:r>
      <w:r>
        <w:rPr>
          <w:rFonts w:ascii="Arial" w:hAnsi="Arial"/>
          <w:b/>
          <w:i w:val="0"/>
          <w:sz w:val="28"/>
        </w:rPr>
        <w:t>[MONTO DE LA MULTA IMPUGNADA]</w:t>
      </w:r>
      <w:r>
        <w:rPr>
          <w:rFonts w:ascii="Arial" w:hAnsi="Arial"/>
          <w:b w:val="0"/>
          <w:i w:val="0"/>
          <w:sz w:val="28"/>
        </w:rPr>
        <w:t>, reprocha un hecho que la ley no erige en infracción, pues castiga la presentación tardía de una declaración y la encuadra en una fracción cuya única tardanza punible es la del cumplimiento de los requerimientos de la autoridad, medida contra el plazo que éstos fijan.</w:t>
      </w:r>
    </w:p>
    <w:p>
      <w:pPr>
        <w:spacing w:line="360" w:lineRule="auto"/>
        <w:jc w:val="both"/>
      </w:pPr>
      <w:r>
        <w:rPr>
          <w:rFonts w:ascii="Arial" w:hAnsi="Arial"/>
          <w:b w:val="0"/>
          <w:i w:val="0"/>
          <w:sz w:val="28"/>
        </w:rPr>
        <w:t>La demostración descansa en una comparación verificable entre dos textos, la descripción de la conducta que hace la propia resolución y las hipótesis que enumera la fracción I del primer párrafo del artículo 81 del código tributario, de la cual resulta que ninguna de éstas coincide con aquélla y que la autoridad, para sancionar, tuvo que asimilar por analogía un supuesto distinto.</w:t>
      </w:r>
    </w:p>
    <w:p>
      <w:pPr>
        <w:spacing w:line="360" w:lineRule="auto"/>
        <w:jc w:val="both"/>
      </w:pPr>
      <w:r>
        <w:rPr>
          <w:rFonts w:ascii="Arial" w:hAnsi="Arial"/>
          <w:b w:val="0"/>
          <w:i w:val="0"/>
          <w:sz w:val="28"/>
        </w:rPr>
        <w:t>Como en materia sancionadora la conducta debe encuadrar exactamente en la norma, ese desajuste toca el fondo del acto y actualiza la cuarta causal de ilegalidad del artículo 51 de la Ley Federal de Procedimiento Contencioso Administrativo, de modo que procede declarar la nulidad lisa y llana en términos de la fracción II del numeral 52 de ese mismo ordenamiento.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impugnado es la multa por obligaciones omitidas federales contenida en el crédito fiscal </w:t>
      </w:r>
      <w:r>
        <w:rPr>
          <w:rFonts w:ascii="Arial" w:hAnsi="Arial"/>
          <w:b/>
          <w:i w:val="0"/>
          <w:sz w:val="28"/>
        </w:rPr>
        <w:t>[NÚMERO DE CRÉDITO FISCAL DE LA MULTA IMPUGNADA]</w:t>
      </w:r>
      <w:r>
        <w:rPr>
          <w:rFonts w:ascii="Arial" w:hAnsi="Arial"/>
          <w:b w:val="0"/>
          <w:i w:val="0"/>
          <w:sz w:val="28"/>
        </w:rPr>
        <w:t xml:space="preserve">, de fecha </w:t>
      </w:r>
      <w:r>
        <w:rPr>
          <w:rFonts w:ascii="Arial" w:hAnsi="Arial"/>
          <w:b/>
          <w:i w:val="0"/>
          <w:sz w:val="28"/>
        </w:rPr>
        <w:t>[FECHA DE LA MULTA IMPUGNADA]</w:t>
      </w:r>
      <w:r>
        <w:rPr>
          <w:rFonts w:ascii="Arial" w:hAnsi="Arial"/>
          <w:b w:val="0"/>
          <w:i w:val="0"/>
          <w:sz w:val="28"/>
        </w:rPr>
        <w:t xml:space="preserve">, notificada a la parte actora el </w:t>
      </w:r>
      <w:r>
        <w:rPr>
          <w:rFonts w:ascii="Arial" w:hAnsi="Arial"/>
          <w:b/>
          <w:i w:val="0"/>
          <w:sz w:val="28"/>
        </w:rPr>
        <w:t>[FECHA DE NOTIFICACIÓN DE LA MULTA IMPUGNADA]</w:t>
      </w:r>
      <w:r>
        <w:rPr>
          <w:rFonts w:ascii="Arial" w:hAnsi="Arial"/>
          <w:b w:val="0"/>
          <w:i w:val="0"/>
          <w:sz w:val="28"/>
        </w:rPr>
        <w:t xml:space="preserve">, que </w:t>
      </w:r>
      <w:r>
        <w:rPr>
          <w:rFonts w:ascii="Arial" w:hAnsi="Arial"/>
          <w:b/>
          <w:i w:val="0"/>
          <w:sz w:val="28"/>
        </w:rPr>
        <w:t>[AUTORIDAD DEMANDADA]</w:t>
      </w:r>
      <w:r>
        <w:rPr>
          <w:rFonts w:ascii="Arial" w:hAnsi="Arial"/>
          <w:b w:val="0"/>
          <w:i w:val="0"/>
          <w:sz w:val="28"/>
        </w:rPr>
        <w:t xml:space="preserve"> impuso con motivo del requerimiento con número de control </w:t>
      </w:r>
      <w:r>
        <w:rPr>
          <w:rFonts w:ascii="Arial" w:hAnsi="Arial"/>
          <w:b/>
          <w:i w:val="0"/>
          <w:sz w:val="28"/>
        </w:rPr>
        <w:t>[NÚMERO DE CONTROL DEL REQUERIMIENTO]</w:t>
      </w:r>
      <w:r>
        <w:rPr>
          <w:rFonts w:ascii="Arial" w:hAnsi="Arial"/>
          <w:b w:val="0"/>
          <w:i w:val="0"/>
          <w:sz w:val="28"/>
        </w:rPr>
        <w:t xml:space="preserve">, de </w:t>
      </w:r>
      <w:r>
        <w:rPr>
          <w:rFonts w:ascii="Arial" w:hAnsi="Arial"/>
          <w:b/>
          <w:i w:val="0"/>
          <w:sz w:val="28"/>
        </w:rPr>
        <w:t>[FECHA DEL REQUERIMIENTO]</w:t>
      </w:r>
      <w:r>
        <w:rPr>
          <w:rFonts w:ascii="Arial" w:hAnsi="Arial"/>
          <w:b w:val="0"/>
          <w:i w:val="0"/>
          <w:sz w:val="28"/>
        </w:rPr>
        <w:t xml:space="preserve">, relativo a </w:t>
      </w:r>
      <w:r>
        <w:rPr>
          <w:rFonts w:ascii="Arial" w:hAnsi="Arial"/>
          <w:b/>
          <w:i w:val="0"/>
          <w:sz w:val="28"/>
        </w:rPr>
        <w:t>[DECLARACIÓN, PERIODO Y CONTRIBUCIÓN REQUERIDOS]</w:t>
      </w:r>
      <w:r>
        <w:rPr>
          <w:rFonts w:ascii="Arial" w:hAnsi="Arial"/>
          <w:b w:val="0"/>
          <w:i w:val="0"/>
          <w:sz w:val="28"/>
        </w:rPr>
        <w:t>.</w:t>
      </w:r>
    </w:p>
    <w:p>
      <w:pPr>
        <w:spacing w:line="360" w:lineRule="auto"/>
        <w:jc w:val="both"/>
      </w:pPr>
      <w:r>
        <w:rPr>
          <w:rFonts w:ascii="Arial" w:hAnsi="Arial"/>
          <w:b w:val="0"/>
          <w:i w:val="0"/>
          <w:sz w:val="28"/>
        </w:rPr>
        <w:t xml:space="preserve">La conducta que la resolución reprocha quedó descrita en estos términos: </w:t>
      </w:r>
      <w:r>
        <w:rPr>
          <w:rFonts w:ascii="Arial" w:hAnsi="Arial"/>
          <w:b w:val="0"/>
          <w:i/>
          <w:sz w:val="28"/>
        </w:rPr>
        <w:t>“[TRANSCRIPCIÓN LITERAL DE LA CONDUCTA DESCRITA EN LA MULTA]”</w:t>
      </w:r>
      <w:r>
        <w:rPr>
          <w:rFonts w:ascii="Arial" w:hAnsi="Arial"/>
          <w:b w:val="0"/>
          <w:i w:val="0"/>
          <w:sz w:val="28"/>
        </w:rPr>
        <w:t xml:space="preserve">, y para sancionarla la autoridad invocó </w:t>
      </w:r>
      <w:r>
        <w:rPr>
          <w:rFonts w:ascii="Arial" w:hAnsi="Arial"/>
          <w:b/>
          <w:i w:val="0"/>
          <w:sz w:val="28"/>
        </w:rPr>
        <w:t>[PRECEPTOS INVOCADOS EN LA MULTA]</w:t>
      </w:r>
      <w:r>
        <w:rPr>
          <w:rFonts w:ascii="Arial" w:hAnsi="Arial"/>
          <w:b w:val="0"/>
          <w:i w:val="0"/>
          <w:sz w:val="28"/>
        </w:rPr>
        <w:t>, entre ellos los numerales 81 y 82 del Código Fiscal de la Federación, en las porciones relativas a la infracción y a la multa que se analizan enseguida.</w:t>
      </w:r>
    </w:p>
    <w:p>
      <w:pPr>
        <w:spacing w:line="360" w:lineRule="auto"/>
        <w:jc w:val="both"/>
      </w:pPr>
      <w:r>
        <w:rPr>
          <w:rFonts w:ascii="Arial" w:hAnsi="Arial"/>
          <w:b w:val="0"/>
          <w:i w:val="0"/>
          <w:sz w:val="28"/>
        </w:rPr>
        <w:t xml:space="preserve">Las normas cuya inobservancia se plantea son los artículos 14 y 16 de la Constitución Política de los Estados Unidos Mexicanos, el primero en cuanto prohíbe imponer pena alguna </w:t>
      </w:r>
      <w:r>
        <w:rPr>
          <w:rFonts w:ascii="Arial" w:hAnsi="Arial"/>
          <w:b w:val="0"/>
          <w:i/>
          <w:sz w:val="28"/>
        </w:rPr>
        <w:t>“por simple analogía, y aún por mayoría de razón”</w:t>
      </w:r>
      <w:r>
        <w:rPr>
          <w:rFonts w:ascii="Arial" w:hAnsi="Arial"/>
          <w:b w:val="0"/>
          <w:i w:val="0"/>
          <w:sz w:val="28"/>
        </w:rPr>
        <w:t xml:space="preserve">, y el segundo porque exige, desde su párrafo inicial, que toda molestia se funde y motive, así como la fracción IV del numeral 38 del Código Fiscal de la Federación, conforme a la cual el acto que deba notificarse ha de </w:t>
      </w:r>
      <w:r>
        <w:rPr>
          <w:rFonts w:ascii="Arial" w:hAnsi="Arial"/>
          <w:b w:val="0"/>
          <w:i/>
          <w:sz w:val="28"/>
        </w:rPr>
        <w:t>“Estar fundado, motivado y expresar la resolución, objeto o propósito de que se trate”</w:t>
      </w:r>
      <w:r>
        <w:rPr>
          <w:rFonts w:ascii="Arial" w:hAnsi="Arial"/>
          <w:b w:val="0"/>
          <w:i w:val="0"/>
          <w:sz w:val="28"/>
        </w:rPr>
        <w:t>.</w:t>
      </w:r>
    </w:p>
    <w:p>
      <w:pPr>
        <w:spacing w:line="360" w:lineRule="auto"/>
        <w:jc w:val="both"/>
      </w:pPr>
      <w:r>
        <w:rPr>
          <w:rFonts w:ascii="Arial" w:hAnsi="Arial"/>
          <w:b w:val="0"/>
          <w:i w:val="0"/>
          <w:sz w:val="28"/>
        </w:rPr>
        <w:t>El perjuicio es directo, porque la parte actora soporta una sanción pecuniaria por un hecho que el legislador no tipificó, y el beneficio que persigue este concepto es el mayor posible, ya que, si la conducta reprochada es atípica, la autoridad carece de materia para volver a sancionar y la nulidad debe ser lisa y llana.</w:t>
      </w:r>
    </w:p>
    <w:p>
      <w:pPr>
        <w:spacing w:line="360" w:lineRule="auto"/>
        <w:jc w:val="both"/>
      </w:pPr>
      <w:r>
        <w:rPr>
          <w:rFonts w:ascii="Arial" w:hAnsi="Arial"/>
          <w:b w:val="0"/>
          <w:i w:val="0"/>
          <w:sz w:val="28"/>
        </w:rPr>
        <w:t>Por esa razón se pide que este planteamiento se examine en primer lugar, conforme al segundo párrafo del artículo 50 de la Ley Federal de Procedimiento Contencioso Administrativo, que obliga a la Sala a estudiar antes las causales que puedan llevar a la nulidad lisa y llana; los preceptos de esa ley se invocan según su texto vigente, tras la reforma publicada en el Diario Oficial de la Federación el 9 de junio de 2026.</w:t>
      </w:r>
    </w:p>
    <w:p>
      <w:pPr>
        <w:spacing w:line="360" w:lineRule="auto"/>
        <w:jc w:val="both"/>
      </w:pPr>
      <w:r>
        <w:rPr>
          <w:rFonts w:ascii="Arial" w:hAnsi="Arial"/>
          <w:b w:val="0"/>
          <w:i w:val="0"/>
          <w:sz w:val="28"/>
        </w:rPr>
        <w:t>Conviene precisar desde ahora la naturaleza del vicio: la multa cita preceptos y relata un suceso, pero lo relatado no encaja en el supuesto citado, desajuste que afecta el fondo de la disposición aplicada y encuadra en la cuarta causal del artículo 51 de la ley procesal, ajeno por tanto a las omisiones formales que, conforme a la fracción IV del numeral 52, sólo conducen a una nulidad para efectos.</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Toda sanción administrativa supone un ejercicio de subsunción, que la doctrina caracteriza como la operación lógica deductiva por la cual se establece la dependencia del hecho concreto respecto de la hipótesis general de la norma, de suerte que la premisa mayor la integra el precepto que contiene el supuesto, la menor el acontecimiento condicionante y la conclusión la imputación de la consecuencia jurídica.</w:t>
      </w:r>
      <w:r>
        <w:rPr>
          <w:rFonts w:ascii="Arial" w:hAnsi="Arial"/>
          <w:vertAlign w:val="superscript"/>
        </w:rPr>
        <w:t>1</w:t>
      </w:r>
    </w:p>
    <w:p>
      <w:pPr>
        <w:spacing w:line="360" w:lineRule="auto"/>
        <w:jc w:val="both"/>
      </w:pPr>
      <w:r>
        <w:rPr>
          <w:rFonts w:ascii="Arial" w:hAnsi="Arial"/>
          <w:b w:val="0"/>
          <w:i w:val="0"/>
          <w:sz w:val="28"/>
        </w:rPr>
        <w:t xml:space="preserve">Esa operación adquiere en materia punitiva una exigencia reforzada, porque el párrafo tercero del artículo 14 constitucional prohíbe imponer, </w:t>
      </w:r>
      <w:r>
        <w:rPr>
          <w:rFonts w:ascii="Arial" w:hAnsi="Arial"/>
          <w:b w:val="0"/>
          <w:i/>
          <w:sz w:val="28"/>
        </w:rPr>
        <w:t>“por simple analogía, y aún por mayoría de razón, pena alguna que no esté decretada por una ley exactamente aplicable”</w:t>
      </w:r>
      <w:r>
        <w:rPr>
          <w:rFonts w:ascii="Arial" w:hAnsi="Arial"/>
          <w:b w:val="0"/>
          <w:i w:val="0"/>
          <w:sz w:val="28"/>
        </w:rPr>
        <w:t>, garantía de tipicidad que rige también en el derecho administrativo sancionador, como lo ha reconocido, a título ilustrativo, una Sala Regional del Tribunal Federal de Justicia Administrativa en un caso análogo.</w:t>
      </w:r>
    </w:p>
    <w:p>
      <w:pPr>
        <w:spacing w:line="360" w:lineRule="auto"/>
        <w:jc w:val="both"/>
      </w:pPr>
      <w:r>
        <w:rPr>
          <w:rFonts w:ascii="Arial" w:hAnsi="Arial"/>
          <w:b w:val="0"/>
          <w:i w:val="0"/>
          <w:sz w:val="28"/>
        </w:rPr>
        <w:t>La doctrina constitucional denomina mandato de taxatividad o de lex certa a la exigencia de que las normas sancionadoras describan con suficiente precisión qué conductas están prohibidas y qué sanciones corresponden a quienes incurran en ellas, de manera que sus destinatarios puedan prever razonablemente lo que les está vedado, con lo cual se protegen la seguridad jurídica y la igualdad.</w:t>
      </w:r>
      <w:r>
        <w:rPr>
          <w:rFonts w:ascii="Arial" w:hAnsi="Arial"/>
          <w:vertAlign w:val="superscript"/>
        </w:rPr>
        <w:t>2</w:t>
      </w:r>
    </w:p>
    <w:p>
      <w:pPr>
        <w:spacing w:line="360" w:lineRule="auto"/>
        <w:jc w:val="both"/>
      </w:pPr>
      <w:r>
        <w:rPr>
          <w:rFonts w:ascii="Arial" w:hAnsi="Arial"/>
          <w:b w:val="0"/>
          <w:i w:val="0"/>
          <w:sz w:val="28"/>
        </w:rPr>
        <w:t>Correlativo de lo anterior es el mandato de lex stricta, que, según la misma obra, deja a salvo la interpretación de las leyes penales y proscribe, en cambio, cualquier forma de creación de derecho penal por parte del órgano jurisdiccional en perjuicio de la persona acusada, sea por analogía, por mayoría de razón o mediante la atribución de significados arbitrarios o injustificados a sus términos.</w:t>
      </w:r>
      <w:r>
        <w:rPr>
          <w:rFonts w:ascii="Arial" w:hAnsi="Arial"/>
          <w:vertAlign w:val="superscript"/>
        </w:rPr>
        <w:t>3</w:t>
      </w:r>
    </w:p>
    <w:p>
      <w:pPr>
        <w:spacing w:line="360" w:lineRule="auto"/>
        <w:jc w:val="both"/>
      </w:pPr>
      <w:r>
        <w:rPr>
          <w:rFonts w:ascii="Arial" w:hAnsi="Arial"/>
          <w:b w:val="0"/>
          <w:i w:val="0"/>
          <w:sz w:val="28"/>
        </w:rPr>
        <w:t>De ahí se siguen dos consecuencias para el caso, pues la autoridad sancionadora sólo puede castigar la conducta que coincida exactamente con alguna de las descritas en la norma, y ni ella, al contestar la demanda, ni la Sala, al resolver, pueden reconstruir la infracción acercando el hecho reprochado a un supuesto parecido.</w:t>
      </w:r>
    </w:p>
    <w:p>
      <w:pPr>
        <w:spacing w:line="360" w:lineRule="auto"/>
        <w:jc w:val="both"/>
      </w:pPr>
      <w:r>
        <w:rPr>
          <w:rFonts w:ascii="Arial" w:hAnsi="Arial"/>
          <w:b w:val="0"/>
          <w:i w:val="0"/>
          <w:sz w:val="28"/>
        </w:rPr>
        <w:t xml:space="preserve">El artículo 81, fracción I, del Código Fiscal de la Federación, en las porciones que interesan, coincidentes en el texto aplicable a la conducta y en el vigente, tipifica </w:t>
      </w:r>
      <w:r>
        <w:rPr>
          <w:rFonts w:ascii="Arial" w:hAnsi="Arial"/>
          <w:b w:val="0"/>
          <w:i/>
          <w:sz w:val="28"/>
        </w:rPr>
        <w:t>“No presentar las declaraciones, las solicitudes, los avisos o las constancias que exijan las disposiciones fiscales”</w:t>
      </w:r>
      <w:r>
        <w:rPr>
          <w:rFonts w:ascii="Arial" w:hAnsi="Arial"/>
          <w:b w:val="0"/>
          <w:i w:val="0"/>
          <w:sz w:val="28"/>
        </w:rPr>
        <w:t xml:space="preserve">, no hacerlo por los medios electrónicos que señale la Secretaría de Hacienda y Crédito Público </w:t>
      </w:r>
      <w:r>
        <w:rPr>
          <w:rFonts w:ascii="Arial" w:hAnsi="Arial"/>
          <w:b w:val="0"/>
          <w:i/>
          <w:sz w:val="28"/>
        </w:rPr>
        <w:t>“o presentarlos a requerimiento de las autoridades fiscales”</w:t>
      </w:r>
      <w:r>
        <w:rPr>
          <w:rFonts w:ascii="Arial" w:hAnsi="Arial"/>
          <w:b w:val="0"/>
          <w:i w:val="0"/>
          <w:sz w:val="28"/>
        </w:rPr>
        <w:t>.</w:t>
      </w:r>
    </w:p>
    <w:p>
      <w:pPr>
        <w:spacing w:line="360" w:lineRule="auto"/>
        <w:jc w:val="both"/>
      </w:pPr>
      <w:r>
        <w:rPr>
          <w:rFonts w:ascii="Arial" w:hAnsi="Arial"/>
          <w:b w:val="0"/>
          <w:i w:val="0"/>
          <w:sz w:val="28"/>
        </w:rPr>
        <w:t xml:space="preserve">En un segundo enunciado, la misma fracción sanciona </w:t>
      </w:r>
      <w:r>
        <w:rPr>
          <w:rFonts w:ascii="Arial" w:hAnsi="Arial"/>
          <w:b w:val="0"/>
          <w:i/>
          <w:sz w:val="28"/>
        </w:rPr>
        <w:t>“No cumplir los requerimientos de las autoridades fiscales para presentar alguno de los documentos o medios electrónicos a que se refiere esta fracción, o cumplirlos fuera de los plazos señalados en los mismos”</w:t>
      </w:r>
      <w:r>
        <w:rPr>
          <w:rFonts w:ascii="Arial" w:hAnsi="Arial"/>
          <w:b w:val="0"/>
          <w:i w:val="0"/>
          <w:sz w:val="28"/>
        </w:rPr>
        <w:t>, hipótesis que cierran el catálogo de conductas punibles que esa porción normativa dedica a las declaraciones.</w:t>
      </w:r>
    </w:p>
    <w:p>
      <w:pPr>
        <w:spacing w:line="360" w:lineRule="auto"/>
        <w:jc w:val="both"/>
      </w:pPr>
      <w:r>
        <w:rPr>
          <w:rFonts w:ascii="Arial" w:hAnsi="Arial"/>
          <w:b w:val="0"/>
          <w:i w:val="0"/>
          <w:sz w:val="28"/>
        </w:rPr>
        <w:t xml:space="preserve">La lectura de ese catálogo revela que la fracción sólo contiene un parámetro temporal, el de </w:t>
      </w:r>
      <w:r>
        <w:rPr>
          <w:rFonts w:ascii="Arial" w:hAnsi="Arial"/>
          <w:b w:val="0"/>
          <w:i/>
          <w:sz w:val="28"/>
        </w:rPr>
        <w:t>“los plazos señalados en los mismos”</w:t>
      </w:r>
      <w:r>
        <w:rPr>
          <w:rFonts w:ascii="Arial" w:hAnsi="Arial"/>
          <w:b w:val="0"/>
          <w:i w:val="0"/>
          <w:sz w:val="28"/>
        </w:rPr>
        <w:t>, cuyo antecedente gramatical son los requerimientos, por lo que la tardanza punible se mide contra el plazo que fija la autoridad al requerir, con independencia de la fecha en que originalmente vencía la obligación declarativa.</w:t>
      </w:r>
    </w:p>
    <w:p>
      <w:pPr>
        <w:spacing w:line="360" w:lineRule="auto"/>
        <w:jc w:val="both"/>
      </w:pPr>
      <w:r>
        <w:rPr>
          <w:rFonts w:ascii="Arial" w:hAnsi="Arial"/>
          <w:b w:val="0"/>
          <w:i w:val="0"/>
          <w:sz w:val="28"/>
        </w:rPr>
        <w:t xml:space="preserve">La misma lógica gobierna la sanción invocada, porque el inciso b) de la fracción I del artículo 82 del código tributario, en el texto vigente cotejado, impone la multa por cada obligación </w:t>
      </w:r>
      <w:r>
        <w:rPr>
          <w:rFonts w:ascii="Arial" w:hAnsi="Arial"/>
          <w:b w:val="0"/>
          <w:i/>
          <w:sz w:val="28"/>
        </w:rPr>
        <w:t>“al presentar una declaración, solicitud, aviso o constancia, fuera del plazo señalado en el requerimiento o por su incumplimiento”</w:t>
      </w:r>
      <w:r>
        <w:rPr>
          <w:rFonts w:ascii="Arial" w:hAnsi="Arial"/>
          <w:b w:val="0"/>
          <w:i w:val="0"/>
          <w:sz w:val="28"/>
        </w:rPr>
        <w:t>, con lo que también la pena toma como referencia temporal el plazo del requerimiento.</w:t>
      </w:r>
    </w:p>
    <w:p>
      <w:pPr>
        <w:spacing w:line="360" w:lineRule="auto"/>
        <w:jc w:val="both"/>
      </w:pPr>
      <w:r>
        <w:rPr>
          <w:rFonts w:ascii="Arial" w:hAnsi="Arial"/>
          <w:b w:val="0"/>
          <w:i w:val="0"/>
          <w:sz w:val="28"/>
        </w:rPr>
        <w:t>En ese sentido, a título ilustrativo, una Sala Regional de ese Tribunal, al resolver en abril de 2026 un caso análogo, sostuvo que la porción de la fracción I que castiga cumplir fuera de plazo se refiere únicamente a los requerimientos de la autoridad, ajena a las obligaciones declarativas de los contribuyentes, de modo que la presentación extemporánea de una declaración no figura entre las hipótesis de infracción del precepto.</w:t>
      </w:r>
    </w:p>
    <w:p>
      <w:pPr>
        <w:spacing w:line="360" w:lineRule="auto"/>
        <w:jc w:val="both"/>
      </w:pPr>
      <w:r>
        <w:rPr>
          <w:rFonts w:ascii="Arial" w:hAnsi="Arial"/>
          <w:b w:val="0"/>
          <w:i w:val="0"/>
          <w:sz w:val="28"/>
        </w:rPr>
        <w:t>A esa exigencia de tipicidad se suma la de fundamentación y motivación del primer párrafo del artículo 16 constitucional y de la fracción IV del numeral 38 del Código Fiscal de la Federación, que en el terreno sancionador obliga a la autoridad a expresar con precisión cuál de las hipótesis legales actualizó el particular y a demostrar que el hecho descrito coincide con ella, carga que no puede trasladarse a la persona sancionada ni al órgano jurisdiccional.</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La multa impugnada no imputa a la parte actora haber omitido la declaración requerida, ni haber desatendido el requerimiento </w:t>
      </w:r>
      <w:r>
        <w:rPr>
          <w:rFonts w:ascii="Arial" w:hAnsi="Arial"/>
          <w:b/>
          <w:i w:val="0"/>
          <w:sz w:val="28"/>
        </w:rPr>
        <w:t>[NÚMERO DE CONTROL DEL REQUERIMIENTO]</w:t>
      </w:r>
      <w:r>
        <w:rPr>
          <w:rFonts w:ascii="Arial" w:hAnsi="Arial"/>
          <w:b w:val="0"/>
          <w:i w:val="0"/>
          <w:sz w:val="28"/>
        </w:rPr>
        <w:t xml:space="preserve">, ni haberlo cumplido una vez vencido el plazo que en él se fijó, porque lo que reprocha, con sus propias palabras, es la </w:t>
      </w:r>
      <w:r>
        <w:rPr>
          <w:rFonts w:ascii="Arial" w:hAnsi="Arial"/>
          <w:b w:val="0"/>
          <w:i/>
          <w:sz w:val="28"/>
        </w:rPr>
        <w:t>“presentación extemporánea de la declaración”</w:t>
      </w:r>
      <w:r>
        <w:rPr>
          <w:rFonts w:ascii="Arial" w:hAnsi="Arial"/>
          <w:b w:val="0"/>
          <w:i w:val="0"/>
          <w:sz w:val="28"/>
        </w:rPr>
        <w:t xml:space="preserve"> realizada después de notificado aquél.</w:t>
      </w:r>
    </w:p>
    <w:p>
      <w:pPr>
        <w:spacing w:line="360" w:lineRule="auto"/>
        <w:jc w:val="both"/>
      </w:pPr>
      <w:r>
        <w:rPr>
          <w:rFonts w:ascii="Arial" w:hAnsi="Arial"/>
          <w:b w:val="0"/>
          <w:i w:val="0"/>
          <w:sz w:val="28"/>
        </w:rPr>
        <w:t>Ese hecho no corresponde a ninguna de las conductas que describe la fracción I del artículo 81 del Código Fiscal de la Federación, pues la extemporaneidad que la autoridad atribuye se predica de la declaración, cuyo plazo legal es ajeno a esa porción normativa, mientras que el precepto sólo castiga la tardanza en el cumplimiento de los requerimientos.</w:t>
      </w:r>
    </w:p>
    <w:p>
      <w:pPr>
        <w:spacing w:line="360" w:lineRule="auto"/>
        <w:jc w:val="both"/>
      </w:pPr>
      <w:r>
        <w:rPr>
          <w:rFonts w:ascii="Arial" w:hAnsi="Arial"/>
          <w:b w:val="0"/>
          <w:i w:val="0"/>
          <w:sz w:val="28"/>
        </w:rPr>
        <w:t xml:space="preserve">La referencia temporal que contiene la multa confirma el desajuste, porque presentar la declaración </w:t>
      </w:r>
      <w:r>
        <w:rPr>
          <w:rFonts w:ascii="Arial" w:hAnsi="Arial"/>
          <w:b w:val="0"/>
          <w:i/>
          <w:sz w:val="28"/>
        </w:rPr>
        <w:t>“después de notificado el requerimiento de autoridad”</w:t>
      </w:r>
      <w:r>
        <w:rPr>
          <w:rFonts w:ascii="Arial" w:hAnsi="Arial"/>
          <w:b w:val="0"/>
          <w:i w:val="0"/>
          <w:sz w:val="28"/>
        </w:rPr>
        <w:t xml:space="preserve"> describe un hecho posterior a la notificación, que puede ocurrir dentro del término otorgado y equivaler a la atención oportuna del requerimiento, en tanto que la hipótesis de cumplimiento tardío exige que la presentación ocurra cuando ese plazo ya había vencido.</w:t>
      </w:r>
    </w:p>
    <w:p>
      <w:pPr>
        <w:spacing w:line="360" w:lineRule="auto"/>
        <w:jc w:val="both"/>
      </w:pPr>
      <w:r>
        <w:rPr>
          <w:rFonts w:ascii="Arial" w:hAnsi="Arial"/>
          <w:b w:val="0"/>
          <w:i w:val="0"/>
          <w:sz w:val="28"/>
        </w:rPr>
        <w:t xml:space="preserve">El desajuste se agrava porque, como sucede en la multa impugnada, la resolución deja en blanco u omite el día en que se exhibió la declaración, porque entonces la autoridad no fija siquiera el dato que permitiría compararlo con el plazo del requerimiento; en el caso, ese documento se presentó el </w:t>
      </w:r>
      <w:r>
        <w:rPr>
          <w:rFonts w:ascii="Arial" w:hAnsi="Arial"/>
          <w:b/>
          <w:i w:val="0"/>
          <w:sz w:val="28"/>
        </w:rPr>
        <w:t>[FECHA EN QUE SE PRESENTÓ LA DECLARACIÓN]</w:t>
      </w:r>
      <w:r>
        <w:rPr>
          <w:rFonts w:ascii="Arial" w:hAnsi="Arial"/>
          <w:b w:val="0"/>
          <w:i w:val="0"/>
          <w:sz w:val="28"/>
        </w:rPr>
        <w:t>, circunstancia que la multa no examina.</w:t>
      </w:r>
    </w:p>
    <w:p>
      <w:pPr>
        <w:spacing w:line="360" w:lineRule="auto"/>
        <w:jc w:val="both"/>
      </w:pPr>
      <w:r>
        <w:rPr>
          <w:rFonts w:ascii="Arial" w:hAnsi="Arial"/>
          <w:b w:val="0"/>
          <w:i w:val="0"/>
          <w:sz w:val="28"/>
        </w:rPr>
        <w:t xml:space="preserve">La propia autoridad aporta, además, un indicio de cómo entendió su reproche, ya que por el mismo requerimiento impuso a la parte actora una multa distinta, la del crédito </w:t>
      </w:r>
      <w:r>
        <w:rPr>
          <w:rFonts w:ascii="Arial" w:hAnsi="Arial"/>
          <w:b/>
          <w:i w:val="0"/>
          <w:sz w:val="28"/>
        </w:rPr>
        <w:t>[NÚMERO DE CRÉDITO DE LA MULTA POR INCUMPLIMIENTO DEL MISMO REQUERIMIENTO]</w:t>
      </w:r>
      <w:r>
        <w:rPr>
          <w:rFonts w:ascii="Arial" w:hAnsi="Arial"/>
          <w:b w:val="0"/>
          <w:i w:val="0"/>
          <w:sz w:val="28"/>
        </w:rPr>
        <w:t>, por el incumplimiento de la presentación de la declaración solicitada, lo que revela que la sanción aquí combatida obedece a un hecho diverso, la tardanza del documento frente a su plazo legal, precisamente el que la fracción I no tipifica.</w:t>
      </w:r>
    </w:p>
    <w:p>
      <w:pPr>
        <w:spacing w:line="360" w:lineRule="auto"/>
        <w:jc w:val="both"/>
      </w:pPr>
      <w:r>
        <w:rPr>
          <w:rFonts w:ascii="Arial" w:hAnsi="Arial"/>
          <w:b w:val="0"/>
          <w:i w:val="0"/>
          <w:sz w:val="28"/>
        </w:rPr>
        <w:t xml:space="preserve">Al contestar la demanda, la defensa previsible de la autoridad consistirá en afirmar que la fracción I del artículo 81 establece la infracción </w:t>
      </w:r>
      <w:r>
        <w:rPr>
          <w:rFonts w:ascii="Arial" w:hAnsi="Arial"/>
          <w:b w:val="0"/>
          <w:i/>
          <w:sz w:val="28"/>
        </w:rPr>
        <w:t>“por el incumplimiento del requerimiento fuera del plazo señalado en el mismo”</w:t>
      </w:r>
      <w:r>
        <w:rPr>
          <w:rFonts w:ascii="Arial" w:hAnsi="Arial"/>
          <w:b w:val="0"/>
          <w:i w:val="0"/>
          <w:sz w:val="28"/>
        </w:rPr>
        <w:t xml:space="preserve"> y que la multa encuadra en ella, argumento inatendible por razones procesales y lógicas.</w:t>
      </w:r>
    </w:p>
    <w:p>
      <w:pPr>
        <w:spacing w:line="360" w:lineRule="auto"/>
        <w:jc w:val="both"/>
      </w:pPr>
      <w:r>
        <w:rPr>
          <w:rFonts w:ascii="Arial" w:hAnsi="Arial"/>
          <w:b w:val="0"/>
          <w:i w:val="0"/>
          <w:sz w:val="28"/>
        </w:rPr>
        <w:t xml:space="preserve">En el plano procesal, el artículo 22 de la Ley Federal de Procedimiento Contencioso Administrativo dispone que en la contestación </w:t>
      </w:r>
      <w:r>
        <w:rPr>
          <w:rFonts w:ascii="Arial" w:hAnsi="Arial"/>
          <w:b w:val="0"/>
          <w:i/>
          <w:sz w:val="28"/>
        </w:rPr>
        <w:t>“no podrán cambiarse los fundamentos de derecho de la resolución impugnada”</w:t>
      </w:r>
      <w:r>
        <w:rPr>
          <w:rFonts w:ascii="Arial" w:hAnsi="Arial"/>
          <w:b w:val="0"/>
          <w:i w:val="0"/>
          <w:sz w:val="28"/>
        </w:rPr>
        <w:t>, y trasladar la conducta reprochada de la extemporaneidad de la declaración al cumplimiento tardío del requerimiento supone reencuadrarla en una hipótesis distinta de la que expresó la multa, con lo que se sustituye su fundamento.</w:t>
      </w:r>
    </w:p>
    <w:p>
      <w:pPr>
        <w:spacing w:line="360" w:lineRule="auto"/>
        <w:jc w:val="both"/>
      </w:pPr>
      <w:r>
        <w:rPr>
          <w:rFonts w:ascii="Arial" w:hAnsi="Arial"/>
          <w:b w:val="0"/>
          <w:i w:val="0"/>
          <w:sz w:val="28"/>
        </w:rPr>
        <w:t>En el plano lógico, ese razonamiento incurre en la falacia de equívoco, que consiste en confundir los diversos significados de una palabra o frase y emplearla dentro del mismo contexto con sentidos distintos, sea por descuido o aprovechando la confusión en favor propio.</w:t>
      </w:r>
      <w:r>
        <w:rPr>
          <w:rFonts w:ascii="Arial" w:hAnsi="Arial"/>
          <w:vertAlign w:val="superscript"/>
        </w:rPr>
        <w:t>4</w:t>
      </w:r>
    </w:p>
    <w:p>
      <w:pPr>
        <w:spacing w:line="360" w:lineRule="auto"/>
        <w:jc w:val="both"/>
      </w:pPr>
      <w:r>
        <w:rPr>
          <w:rFonts w:ascii="Arial" w:hAnsi="Arial"/>
          <w:b w:val="0"/>
          <w:i w:val="0"/>
          <w:sz w:val="28"/>
        </w:rPr>
        <w:t xml:space="preserve">El término que oscila es </w:t>
      </w:r>
      <w:r>
        <w:rPr>
          <w:rFonts w:ascii="Arial" w:hAnsi="Arial"/>
          <w:b w:val="0"/>
          <w:i/>
          <w:sz w:val="28"/>
        </w:rPr>
        <w:t>“extemporánea”</w:t>
      </w:r>
      <w:r>
        <w:rPr>
          <w:rFonts w:ascii="Arial" w:hAnsi="Arial"/>
          <w:b w:val="0"/>
          <w:i w:val="0"/>
          <w:sz w:val="28"/>
        </w:rPr>
        <w:t>, ya que la multa lo predica de la presentación de la declaración, cuyo vencimiento deriva de las disposiciones fiscales, mientras que la defensa lo traslada al cumplimiento del requerimiento frente al plazo fijado en éste, de suerte que la conclusión de tipicidad sólo se obtiene cambiando, a mitad del argumento, el objeto al que se refiere la tardanza.</w:t>
      </w:r>
    </w:p>
    <w:p>
      <w:pPr>
        <w:spacing w:line="360" w:lineRule="auto"/>
        <w:jc w:val="both"/>
      </w:pPr>
      <w:r>
        <w:rPr>
          <w:rFonts w:ascii="Arial" w:hAnsi="Arial"/>
          <w:b w:val="0"/>
          <w:i w:val="0"/>
          <w:sz w:val="28"/>
        </w:rPr>
        <w:t>A ello se suma una falsa analogía, vicio en que incurre todo argumento analógico que no se apoya en una semejanza relevante u olvida las diferencias que impiden la conclusión.</w:t>
      </w:r>
      <w:r>
        <w:rPr>
          <w:rFonts w:ascii="Arial" w:hAnsi="Arial"/>
          <w:vertAlign w:val="superscript"/>
        </w:rPr>
        <w:t>5</w:t>
      </w:r>
    </w:p>
    <w:p>
      <w:pPr>
        <w:spacing w:line="360" w:lineRule="auto"/>
        <w:jc w:val="both"/>
      </w:pPr>
      <w:r>
        <w:rPr>
          <w:rFonts w:ascii="Arial" w:hAnsi="Arial"/>
          <w:b w:val="0"/>
          <w:i w:val="0"/>
          <w:sz w:val="28"/>
        </w:rPr>
        <w:t>La autoridad equipara la declaración presentada después de su vencimiento legal con el requerimiento atendido fuera del término otorgado, pero omite la diferencia decisiva entre ambos supuestos, pues sólo en el segundo existe un mandato concreto de la administración con plazo propio cuya desatención quiso castigar el legislador, de modo que extender la sanción del uno al otro equivale a aplicarla por analogía, proceder que el párrafo tercero del artículo 14 constitucional proscribe.</w:t>
      </w:r>
    </w:p>
    <w:p>
      <w:pPr>
        <w:spacing w:line="360" w:lineRule="auto"/>
        <w:jc w:val="both"/>
      </w:pPr>
      <w:r>
        <w:rPr>
          <w:rFonts w:ascii="Arial" w:hAnsi="Arial"/>
          <w:b w:val="0"/>
          <w:i w:val="0"/>
          <w:sz w:val="28"/>
        </w:rPr>
        <w:t xml:space="preserve">Tampoco podría sostenerse la multa con la hipótesis de presentar las declaraciones </w:t>
      </w:r>
      <w:r>
        <w:rPr>
          <w:rFonts w:ascii="Arial" w:hAnsi="Arial"/>
          <w:b w:val="0"/>
          <w:i/>
          <w:sz w:val="28"/>
        </w:rPr>
        <w:t>“a requerimiento de las autoridades fiscales”</w:t>
      </w:r>
      <w:r>
        <w:rPr>
          <w:rFonts w:ascii="Arial" w:hAnsi="Arial"/>
          <w:b w:val="0"/>
          <w:i w:val="0"/>
          <w:sz w:val="28"/>
        </w:rPr>
        <w:t>, porque el hecho que la resolución reprochó fue la extemporaneidad y porque la sanción que eligió, la del inciso b), está construida sobre la presentación fuera del plazo del requerimiento o su incumplimiento, de manera que acudir a ese otro supuesto exigiría rehacer la motivación y la fundamentación del acto.</w:t>
      </w:r>
    </w:p>
    <w:p>
      <w:pPr>
        <w:spacing w:line="360" w:lineRule="auto"/>
        <w:jc w:val="both"/>
      </w:pPr>
      <w:r>
        <w:rPr>
          <w:rFonts w:ascii="Arial" w:hAnsi="Arial"/>
          <w:b w:val="0"/>
          <w:i w:val="0"/>
          <w:sz w:val="28"/>
        </w:rPr>
        <w:t>Ese trabajo de reconstrucción tampoco corresponde a la Sala, porque el mandato de lex stricta, trasladado a la materia sancionadora, veda al órgano jurisdiccional crear la infracción en perjuicio de la persona sancionada, y porque decidir cuál de las hipótesis de la fracción pudo haber querido aplicar la autoridad implicaría completar su resolución con elementos que ésta no contiene.</w:t>
      </w:r>
    </w:p>
    <w:p>
      <w:pPr>
        <w:spacing w:line="360" w:lineRule="auto"/>
        <w:jc w:val="both"/>
      </w:pPr>
      <w:r>
        <w:rPr>
          <w:rFonts w:ascii="Arial" w:hAnsi="Arial"/>
          <w:b w:val="0"/>
          <w:i w:val="0"/>
          <w:sz w:val="28"/>
        </w:rPr>
        <w:t>En consecuencia, la autoridad apreció en forma equivocada los hechos que motivaron la multa y la dictó en contravención de la disposición que aplicó, supuestos ambos de la cuarta causal del artículo 51 de la Ley Federal de Procedimiento Contencioso Administrativo, y como la parte actora no cometió la infracción que se le imputa, procede la nulidad lisa y llana prevista en la fracción II del numeral 52 de ese ordenamiento.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la multa sanciona la presentación tardía de una declaración, hecho que la fracción I del artículo 81 del Código Fiscal de la Federación no erige en infracción, porque la única tardanza que esa porción normativa castiga es la del cumplimiento de los requerimientos, medida contra el plazo que éstos fijan, de modo que la conducta reprochada es atípica y no puede ser objeto de sanción.</w:t>
      </w:r>
    </w:p>
    <w:p>
      <w:pPr>
        <w:spacing w:line="360" w:lineRule="auto"/>
        <w:jc w:val="both"/>
      </w:pPr>
      <w:r>
        <w:rPr>
          <w:rFonts w:ascii="Arial" w:hAnsi="Arial"/>
          <w:b w:val="0"/>
          <w:i w:val="0"/>
          <w:sz w:val="28"/>
        </w:rPr>
        <w:t xml:space="preserve">Por lo expuesto, se solicita a esa Sala que tenga por fundado este concepto de impugnación, que lo estudie de manera preferente en términos del segundo párrafo del artículo 50 de la Ley Federal de Procedimiento Contencioso Administrativo y que, con fundamento en las fracciones IV del numeral 51 y II del 52 de esa ley, declare la nulidad lisa y llana de la multa contenida en el crédito fiscal </w:t>
      </w:r>
      <w:r>
        <w:rPr>
          <w:rFonts w:ascii="Arial" w:hAnsi="Arial"/>
          <w:b/>
          <w:i w:val="0"/>
          <w:sz w:val="28"/>
        </w:rPr>
        <w:t>[NÚMERO DE CRÉDITO FISCAL DE LA MULTA IMPUGNADA]</w:t>
      </w:r>
      <w:r>
        <w:rPr>
          <w:rFonts w:ascii="Arial" w:hAnsi="Arial"/>
          <w:b w:val="0"/>
          <w:i w:val="0"/>
          <w:sz w:val="28"/>
        </w:rPr>
        <w:t>.</w:t>
      </w:r>
    </w:p>
    <w:p>
      <w:pPr>
        <w:spacing w:line="360" w:lineRule="auto"/>
        <w:jc w:val="both"/>
      </w:pPr>
      <w:r>
        <w:rPr>
          <w:rFonts w:ascii="Arial" w:hAnsi="Arial"/>
          <w:b w:val="0"/>
          <w:i w:val="0"/>
          <w:sz w:val="28"/>
        </w:rPr>
        <w:t>El acogimiento de este concepto hace innecesario el examen de los que se dirigen contra vicios formales, como la falta de motivación de la parte actualizada del monto de la multa, cuyo efecto, de prosperar en forma aislada, se limitaría a una nulidad para que la autoridad emita una nueva resolución.</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LÓPEZ BELLO, Héctor, </w:t>
      </w:r>
      <w:r>
        <w:rPr>
          <w:rFonts w:ascii="Arial" w:hAnsi="Arial"/>
          <w:i/>
          <w:sz w:val="20"/>
        </w:rPr>
        <w:t>Manual de lógica formal para su empleo práctico en el derecho. Elementos de razonamiento lógico para la justicia administrativa</w:t>
      </w:r>
      <w:r>
        <w:rPr>
          <w:rFonts w:ascii="Arial" w:hAnsi="Arial"/>
          <w:i w:val="0"/>
          <w:sz w:val="20"/>
        </w:rPr>
        <w:t>, Tribunal Federal de Justicia Administrativa, México, 2018, p. 230.</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IBARRA OLGUÍN, Ana María (ed.), </w:t>
      </w:r>
      <w:r>
        <w:rPr>
          <w:rFonts w:ascii="Arial" w:hAnsi="Arial"/>
          <w:i/>
          <w:sz w:val="20"/>
        </w:rPr>
        <w:t>Curso de derechos humanos</w:t>
      </w:r>
      <w:r>
        <w:rPr>
          <w:rFonts w:ascii="Arial" w:hAnsi="Arial"/>
          <w:i w:val="0"/>
          <w:sz w:val="20"/>
        </w:rPr>
        <w:t>, Tirant lo Blanch, México, 2022, p. 380.</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IBARRA OLGUÍN, op. cit.</w:t>
      </w:r>
      <w:r>
        <w:rPr>
          <w:rFonts w:ascii="Arial" w:hAnsi="Arial"/>
          <w:i w:val="0"/>
          <w:sz w:val="20"/>
        </w:rPr>
        <w:t>, p. 385.</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 p. 91.</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9.</w:t>
      </w:r>
    </w:p>
    <w:p/>
    <w:p>
      <w:r>
        <w:rPr>
          <w:rFonts w:ascii="Arial" w:hAnsi="Arial"/>
          <w:b/>
          <w:sz w:val="22"/>
        </w:rPr>
        <w:t>BIBLIOGRAFÍA</w:t>
      </w:r>
    </w:p>
    <w:p>
      <w:pPr>
        <w:spacing w:after="60"/>
        <w:ind w:left="360" w:hanging="360"/>
        <w:jc w:val="both"/>
      </w:pPr>
      <w:r>
        <w:rPr>
          <w:rFonts w:ascii="Arial" w:hAnsi="Arial"/>
          <w:i w:val="0"/>
          <w:sz w:val="20"/>
        </w:rPr>
        <w:t xml:space="preserve">BATTÚ, Norma, </w:t>
      </w:r>
      <w:r>
        <w:rPr>
          <w:rFonts w:ascii="Arial" w:hAnsi="Arial"/>
          <w:i/>
          <w:sz w:val="20"/>
        </w:rPr>
        <w:t>Falacias y manejos falaces con impacto jurídico. Ideas para detectarlos &amp; neutralizarlos</w:t>
      </w:r>
      <w:r>
        <w:rPr>
          <w:rFonts w:ascii="Arial" w:hAnsi="Arial"/>
          <w:i w:val="0"/>
          <w:sz w:val="20"/>
        </w:rPr>
        <w:t>, UNL, Santa Fe, 2020.</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IBARRA OLGUÍN, Ana María (ed.), </w:t>
      </w:r>
      <w:r>
        <w:rPr>
          <w:rFonts w:ascii="Arial" w:hAnsi="Arial"/>
          <w:i/>
          <w:sz w:val="20"/>
        </w:rPr>
        <w:t>Curso de derechos humanos</w:t>
      </w:r>
      <w:r>
        <w:rPr>
          <w:rFonts w:ascii="Arial" w:hAnsi="Arial"/>
          <w:i w:val="0"/>
          <w:sz w:val="20"/>
        </w:rPr>
        <w:t>, Tirant lo Blanch, México, 2022.</w:t>
      </w:r>
    </w:p>
    <w:p>
      <w:pPr>
        <w:spacing w:after="60"/>
        <w:ind w:left="360" w:hanging="360"/>
        <w:jc w:val="both"/>
      </w:pPr>
      <w:r>
        <w:rPr>
          <w:rFonts w:ascii="Arial" w:hAnsi="Arial"/>
          <w:i w:val="0"/>
          <w:sz w:val="20"/>
        </w:rPr>
        <w:t xml:space="preserve">LÓPEZ BELLO, Héctor, </w:t>
      </w:r>
      <w:r>
        <w:rPr>
          <w:rFonts w:ascii="Arial" w:hAnsi="Arial"/>
          <w:i/>
          <w:sz w:val="20"/>
        </w:rPr>
        <w:t>Manual de lógica formal para su empleo práctico en el derecho. Elementos de razonamiento lógico para la justicia administrativa</w:t>
      </w:r>
      <w:r>
        <w:rPr>
          <w:rFonts w:ascii="Arial" w:hAnsi="Arial"/>
          <w:i w:val="0"/>
          <w:sz w:val="20"/>
        </w:rPr>
        <w:t>, Tribunal Federal de Justicia Administrativa, México, 2018.</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