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INCREMENTO DE PENSIÓN DEL ISSSTE CONFORME AL SALARIO MÍNIMO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Antes de llenarlo, verifica en la resolución de concesión que la pensión se otorgó entre el 5 de enero de 1993 y el 31 de diciembre de 2001; si no es así, el sistema de incremento es otro y este machote no aplica.</w:t>
      </w:r>
    </w:p>
    <w:p>
      <w:pPr>
        <w:spacing w:line="360" w:lineRule="auto"/>
        <w:jc w:val="both"/>
      </w:pPr>
      <w:r>
        <w:rPr>
          <w:rFonts w:ascii="Arial" w:hAnsi="Arial"/>
          <w:b w:val="0"/>
          <w:i w:val="0"/>
          <w:sz w:val="24"/>
        </w:rPr>
        <w:t>Reúne la resolución de concesión, la hoja única de servicios, los comprobantes de pago de los años reclamados y las resoluciones de la Comisión Nacional de los Salarios Mínimos publicadas en el Diario Oficial de la Federación para cada año, y arma con ellas la tabla comparativa que el machote anuncia. Acota los años reclamados a los inmediatos anteriores a la solicitud para no chocar con la prescripción, y no incluyas en este concepto el tope máximo de la pensión en Unidades de Medida y Actualización: si lo vas a pelear, plantéalo en apartado separado y revisa antes los criterios más recientes de la Suprema Corte sobre la cuantificación de ese tope.</w:t>
      </w:r>
    </w:p>
    <w:p>
      <w:pPr>
        <w:spacing w:line="360" w:lineRule="auto"/>
        <w:jc w:val="both"/>
      </w:pPr>
      <w:r>
        <w:rPr>
          <w:rFonts w:ascii="Arial" w:hAnsi="Arial"/>
          <w:b w:val="0"/>
          <w:i w:val="0"/>
          <w:sz w:val="24"/>
        </w:rPr>
        <w:t>Si impugnas una negativa ficta, recuerda que los motivos que el Instituto exprese al contestar se combaten en la ampliación de demanda y que ese plazo no debe dejarse pasar.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Un aviso sobre la vigencia de los fundamentos: el artículo Décimo Octavo Transitorio de la Ley del ISSSTE de 2007 no ha sido reformado y el machote descansa en él; en cambio, el artículo 208 de esa Ley sí cambió después de la sentencia (la fracción XI que citó la Sala fue recorrida en 2024 y hoy es la XII, y la fracción II se reformó en enero de 2026), por lo que el machote sólo invoca la fracción II y conviene que cotejes el texto vigente el día que presentes la demanda.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[NEGATIVA FICTA O RESOLUCIÓN EXPRESA IMPUGNADA]</w:t>
      </w:r>
      <w:r>
        <w:rPr>
          <w:rFonts w:ascii="Arial" w:hAnsi="Arial"/>
          <w:b w:val="0"/>
          <w:i w:val="0"/>
          <w:sz w:val="24"/>
        </w:rPr>
        <w:t>: describe el acto: la negativa ficta recaída a tu solicitud o el oficio expreso, con su número y fecha.</w:t>
      </w:r>
    </w:p>
    <w:p>
      <w:pPr>
        <w:spacing w:line="360" w:lineRule="auto"/>
        <w:jc w:val="both"/>
      </w:pPr>
      <w:r>
        <w:rPr>
          <w:rFonts w:ascii="Arial" w:hAnsi="Arial"/>
          <w:b/>
          <w:i w:val="0"/>
          <w:sz w:val="24"/>
        </w:rPr>
        <w:t>[AUTORIDAD DEMANDADA]</w:t>
      </w:r>
      <w:r>
        <w:rPr>
          <w:rFonts w:ascii="Arial" w:hAnsi="Arial"/>
          <w:b w:val="0"/>
          <w:i w:val="0"/>
          <w:sz w:val="24"/>
        </w:rPr>
        <w:t>: la Subdelegación de Prestaciones de la Delegación Estatal o Regional del ISSSTE que debía resolver, con su denominación completa.</w:t>
      </w:r>
    </w:p>
    <w:p>
      <w:pPr>
        <w:spacing w:line="360" w:lineRule="auto"/>
        <w:jc w:val="both"/>
      </w:pPr>
      <w:r>
        <w:rPr>
          <w:rFonts w:ascii="Arial" w:hAnsi="Arial"/>
          <w:b/>
          <w:i w:val="0"/>
          <w:sz w:val="24"/>
        </w:rPr>
        <w:t>[NOMBRE DE LA PARTE ACTORA]</w:t>
      </w:r>
      <w:r>
        <w:rPr>
          <w:rFonts w:ascii="Arial" w:hAnsi="Arial"/>
          <w:b w:val="0"/>
          <w:i w:val="0"/>
          <w:sz w:val="24"/>
        </w:rPr>
        <w:t>: la persona pensionada.</w:t>
      </w:r>
    </w:p>
    <w:p>
      <w:pPr>
        <w:spacing w:line="360" w:lineRule="auto"/>
        <w:jc w:val="both"/>
      </w:pPr>
      <w:r>
        <w:rPr>
          <w:rFonts w:ascii="Arial" w:hAnsi="Arial"/>
          <w:b/>
          <w:i w:val="0"/>
          <w:sz w:val="24"/>
        </w:rPr>
        <w:t>[AÑOS RECLAMADOS]</w:t>
      </w:r>
      <w:r>
        <w:rPr>
          <w:rFonts w:ascii="Arial" w:hAnsi="Arial"/>
          <w:b w:val="0"/>
          <w:i w:val="0"/>
          <w:sz w:val="24"/>
        </w:rPr>
        <w:t>: los ejercicios cuyo incremento se pide, por ejemplo los cinco inmediatos anteriores a la solicitud.</w:t>
      </w:r>
    </w:p>
    <w:p>
      <w:pPr>
        <w:spacing w:line="360" w:lineRule="auto"/>
        <w:jc w:val="both"/>
      </w:pPr>
      <w:r>
        <w:rPr>
          <w:rFonts w:ascii="Arial" w:hAnsi="Arial"/>
          <w:b/>
          <w:i w:val="0"/>
          <w:sz w:val="24"/>
        </w:rPr>
        <w:t>[FECHA DE CONCESIÓN DE LA PENSIÓN]</w:t>
      </w:r>
      <w:r>
        <w:rPr>
          <w:rFonts w:ascii="Arial" w:hAnsi="Arial"/>
          <w:b w:val="0"/>
          <w:i w:val="0"/>
          <w:sz w:val="24"/>
        </w:rPr>
        <w:t>: la fecha a partir de la cual se otorgó la pensión, tomada de la resolución de concesión; debe caer entre el 5 de enero de 1993 y el 31 de diciembre de 2001.</w:t>
      </w:r>
    </w:p>
    <w:p>
      <w:pPr>
        <w:spacing w:line="360" w:lineRule="auto"/>
        <w:jc w:val="both"/>
      </w:pPr>
      <w:r>
        <w:rPr>
          <w:rFonts w:ascii="Arial" w:hAnsi="Arial"/>
          <w:b/>
          <w:i w:val="0"/>
          <w:sz w:val="24"/>
        </w:rPr>
        <w:t>[FECHA DE PRESENTACIÓN DE LA SOLICITUD]</w:t>
      </w:r>
      <w:r>
        <w:rPr>
          <w:rFonts w:ascii="Arial" w:hAnsi="Arial"/>
          <w:b w:val="0"/>
          <w:i w:val="0"/>
          <w:sz w:val="24"/>
        </w:rPr>
        <w:t>: fecha del acuse del escrito con que pediste el incremento al Instituto.</w:t>
      </w:r>
    </w:p>
    <w:p>
      <w:pPr>
        <w:spacing w:line="360" w:lineRule="auto"/>
        <w:jc w:val="both"/>
      </w:pPr>
      <w:r>
        <w:rPr>
          <w:rFonts w:ascii="Arial" w:hAnsi="Arial"/>
          <w:b/>
          <w:i w:val="0"/>
          <w:sz w:val="24"/>
        </w:rPr>
        <w:t>[FECHA DE NOTIFICACIÓN DE LA RESOLUCIÓN EXPRESA]</w:t>
      </w:r>
      <w:r>
        <w:rPr>
          <w:rFonts w:ascii="Arial" w:hAnsi="Arial"/>
          <w:b w:val="0"/>
          <w:i w:val="0"/>
          <w:sz w:val="24"/>
        </w:rPr>
        <w:t>: sólo si hubo respuesta expresa; si es negativa ficta, elimina esa oración.</w:t>
      </w:r>
    </w:p>
    <w:p>
      <w:pPr>
        <w:spacing w:line="360" w:lineRule="auto"/>
        <w:jc w:val="both"/>
      </w:pPr>
      <w:r>
        <w:rPr>
          <w:rFonts w:ascii="Arial" w:hAnsi="Arial"/>
          <w:b/>
          <w:i w:val="0"/>
          <w:sz w:val="24"/>
        </w:rPr>
        <w:t>[PORCENTAJE APLICADO POR EL INSTITUTO EN CADA AÑO]</w:t>
      </w:r>
      <w:r>
        <w:rPr>
          <w:rFonts w:ascii="Arial" w:hAnsi="Arial"/>
          <w:b w:val="0"/>
          <w:i w:val="0"/>
          <w:sz w:val="24"/>
        </w:rPr>
        <w:t>: los porcentajes que el ISSSTE aplicó a la cuota diaria, año por año, según los comprobantes de pago.</w:t>
      </w:r>
    </w:p>
    <w:p>
      <w:pPr>
        <w:spacing w:line="360" w:lineRule="auto"/>
        <w:jc w:val="both"/>
      </w:pPr>
      <w:r>
        <w:rPr>
          <w:rFonts w:ascii="Arial" w:hAnsi="Arial"/>
          <w:b/>
          <w:i w:val="0"/>
          <w:sz w:val="24"/>
        </w:rPr>
        <w:t>[FECHAS DE PUBLICACIÓN EN EL DOF DE LAS RESOLUCIONES DE LA CONASAMI]</w:t>
      </w:r>
      <w:r>
        <w:rPr>
          <w:rFonts w:ascii="Arial" w:hAnsi="Arial"/>
          <w:b w:val="0"/>
          <w:i w:val="0"/>
          <w:sz w:val="24"/>
        </w:rPr>
        <w:t>: las fechas de publicación en el Diario Oficial de las resoluciones que fijaron el salario mínimo de cada año reclamado.</w:t>
      </w:r>
    </w:p>
    <w:p>
      <w:pPr>
        <w:spacing w:line="360" w:lineRule="auto"/>
        <w:jc w:val="both"/>
      </w:pPr>
      <w:r>
        <w:rPr>
          <w:rFonts w:ascii="Arial" w:hAnsi="Arial"/>
          <w:b/>
          <w:i w:val="0"/>
          <w:sz w:val="24"/>
        </w:rPr>
        <w:t>[PORCENTAJE DE AUMENTO DEL SALARIO MÍNIMO EN CADA AÑO]</w:t>
      </w:r>
      <w:r>
        <w:rPr>
          <w:rFonts w:ascii="Arial" w:hAnsi="Arial"/>
          <w:b w:val="0"/>
          <w:i w:val="0"/>
          <w:sz w:val="24"/>
        </w:rPr>
        <w:t>: el aumento porcentual del salario mínimo general de cada año, tomado de esas resoluciones.</w:t>
      </w:r>
    </w:p>
    <w:p>
      <w:pPr>
        <w:spacing w:line="360" w:lineRule="auto"/>
        <w:jc w:val="both"/>
      </w:pPr>
      <w:r>
        <w:rPr>
          <w:rFonts w:ascii="Arial" w:hAnsi="Arial"/>
          <w:b/>
          <w:i w:val="0"/>
          <w:sz w:val="24"/>
        </w:rPr>
        <w:t>[VERIFICAR PLAZO APLICABLE]</w:t>
      </w:r>
      <w:r>
        <w:rPr>
          <w:rFonts w:ascii="Arial" w:hAnsi="Arial"/>
          <w:b w:val="0"/>
          <w:i w:val="0"/>
          <w:sz w:val="24"/>
        </w:rPr>
        <w:t>: confirma en los artículos 186 de la Ley anterior y 248 de la Ley vigente el plazo de prescripción y elimina la marca una vez verificado.</w:t>
      </w:r>
    </w:p>
    <w:p/>
    <w:p>
      <w:pPr>
        <w:spacing w:line="360" w:lineRule="auto"/>
        <w:jc w:val="both"/>
      </w:pPr>
      <w:r>
        <w:rPr>
          <w:rFonts w:ascii="Arial" w:hAnsi="Arial"/>
          <w:b/>
          <w:sz w:val="28"/>
        </w:rPr>
        <w:t>[NÚMERO ORDINAL DEL CONCEPTO] CONCEPTO DE IMPUGNACIÓN. Falta de fundamentación y motivación, en su aspecto material, de la negativa a incrementar la pensión conforme a los aumentos del salario mínimo general. La resolución impugnada desconoce el sistema de incremento adquirido al momento de la concesión, previsto en los artículos 15, quinto párrafo, y 57, tercer párrafo, de la Ley del ISSSTE en su texto vigente de 1993 a 2001 y preservado por el artículo Décimo Octavo Transitorio de la Ley vigente, por lo que se actualiza la causal del artículo 51, fracción IV,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impugnada, consistente en </w:t>
      </w:r>
      <w:r>
        <w:rPr>
          <w:rFonts w:ascii="Arial" w:hAnsi="Arial"/>
          <w:b/>
          <w:i w:val="0"/>
          <w:sz w:val="28"/>
        </w:rPr>
        <w:t>[NEGATIVA FICTA O RESOLUCIÓN EXPRESA IMPUGNADA]</w:t>
      </w:r>
      <w:r>
        <w:rPr>
          <w:rFonts w:ascii="Arial" w:hAnsi="Arial"/>
          <w:b w:val="0"/>
          <w:i w:val="0"/>
          <w:sz w:val="28"/>
        </w:rPr>
        <w:t xml:space="preserve">, atribuida a la </w:t>
      </w:r>
      <w:r>
        <w:rPr>
          <w:rFonts w:ascii="Arial" w:hAnsi="Arial"/>
          <w:b/>
          <w:i w:val="0"/>
          <w:sz w:val="28"/>
        </w:rPr>
        <w:t>[AUTORIDAD DEMANDADA]</w:t>
      </w:r>
      <w:r>
        <w:rPr>
          <w:rFonts w:ascii="Arial" w:hAnsi="Arial"/>
          <w:b w:val="0"/>
          <w:i w:val="0"/>
          <w:sz w:val="28"/>
        </w:rPr>
        <w:t xml:space="preserve">, mediante la cual se negó a </w:t>
      </w:r>
      <w:r>
        <w:rPr>
          <w:rFonts w:ascii="Arial" w:hAnsi="Arial"/>
          <w:b/>
          <w:i w:val="0"/>
          <w:sz w:val="28"/>
        </w:rPr>
        <w:t>[NOMBRE DE LA PARTE ACTORA]</w:t>
      </w:r>
      <w:r>
        <w:rPr>
          <w:rFonts w:ascii="Arial" w:hAnsi="Arial"/>
          <w:b w:val="0"/>
          <w:i w:val="0"/>
          <w:sz w:val="28"/>
        </w:rPr>
        <w:t xml:space="preserve"> el incremento de su pensión por jubilación en la misma proporción en que aumentó el salario mínimo general por los años </w:t>
      </w:r>
      <w:r>
        <w:rPr>
          <w:rFonts w:ascii="Arial" w:hAnsi="Arial"/>
          <w:b/>
          <w:i w:val="0"/>
          <w:sz w:val="28"/>
        </w:rPr>
        <w:t>[AÑOS RECLAMADOS]</w:t>
      </w:r>
      <w:r>
        <w:rPr>
          <w:rFonts w:ascii="Arial" w:hAnsi="Arial"/>
          <w:b w:val="0"/>
          <w:i w:val="0"/>
          <w:sz w:val="28"/>
        </w:rPr>
        <w:t>, carece de fundamentación y motivación en su aspecto material, porque aplica a la pensión un sistema de incremento distinto del que la ley fijó en la fecha en que se concedió.</w:t>
      </w:r>
    </w:p>
    <w:p>
      <w:pPr>
        <w:spacing w:line="360" w:lineRule="auto"/>
        <w:jc w:val="both"/>
      </w:pPr>
      <w:r>
        <w:rPr>
          <w:rFonts w:ascii="Arial" w:hAnsi="Arial"/>
          <w:b w:val="0"/>
          <w:i w:val="0"/>
          <w:sz w:val="28"/>
        </w:rPr>
        <w:t xml:space="preserve">La demostración descansa en una premisa temporal sencilla y verificable: la pensión se otorgó el </w:t>
      </w:r>
      <w:r>
        <w:rPr>
          <w:rFonts w:ascii="Arial" w:hAnsi="Arial"/>
          <w:b/>
          <w:i w:val="0"/>
          <w:sz w:val="28"/>
        </w:rPr>
        <w:t>[FECHA DE CONCESIÓN DE LA PENSIÓN]</w:t>
      </w:r>
      <w:r>
        <w:rPr>
          <w:rFonts w:ascii="Arial" w:hAnsi="Arial"/>
          <w:b w:val="0"/>
          <w:i w:val="0"/>
          <w:sz w:val="28"/>
        </w:rPr>
        <w:t>, dentro de la vigencia del texto de la Ley del Instituto de Seguridad y Servicios Sociales de los Trabajadores del Estado publicado en el Diario Oficial de la Federación el 4 de enero de 1993, cuyo artículo 57, tercer párrafo, ordenaba que la cuantía de las pensiones se incrementara conforme aumentara el salario mínimo general, de modo que todo incremento porcentual a dicho salario se reflejara simultáneamente en las pensiones.</w:t>
      </w:r>
    </w:p>
    <w:p>
      <w:pPr>
        <w:spacing w:line="360" w:lineRule="auto"/>
        <w:jc w:val="both"/>
      </w:pPr>
      <w:r>
        <w:rPr>
          <w:rFonts w:ascii="Arial" w:hAnsi="Arial"/>
          <w:b w:val="0"/>
          <w:i w:val="0"/>
          <w:sz w:val="28"/>
        </w:rPr>
        <w:t>Ese sistema de incremento no es una expectativa, sino un derecho adquirido que entró al patrimonio de la persona pensionada desde la concesión y que el artículo Décimo Octavo Transitorio de la Ley del Instituto vigente a partir del 1 de abril de 2007 preserva de manera expresa. Al sustituirlo por el sueldo básico de los trabajadores en activo o por el Índice Nacional de Precios al Consumidor, la autoridad aplicó parámetros que no rigen el caso, incurrió en la causal del artículo 51, fracción IV, de la Ley Federal de Procedimiento Contencioso Administrativo y debe ser condenada a pagar las diferencias.</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w:t>
      </w:r>
      <w:r>
        <w:rPr>
          <w:rFonts w:ascii="Arial" w:hAnsi="Arial"/>
          <w:b/>
          <w:i w:val="0"/>
          <w:sz w:val="28"/>
        </w:rPr>
        <w:t>[NEGATIVA FICTA O RESOLUCIÓN EXPRESA IMPUGNADA]</w:t>
      </w:r>
      <w:r>
        <w:rPr>
          <w:rFonts w:ascii="Arial" w:hAnsi="Arial"/>
          <w:b w:val="0"/>
          <w:i w:val="0"/>
          <w:sz w:val="28"/>
        </w:rPr>
        <w:t xml:space="preserve">, recaída a la solicitud que la parte actora presentó el </w:t>
      </w:r>
      <w:r>
        <w:rPr>
          <w:rFonts w:ascii="Arial" w:hAnsi="Arial"/>
          <w:b/>
          <w:i w:val="0"/>
          <w:sz w:val="28"/>
        </w:rPr>
        <w:t>[FECHA DE PRESENTACIÓN DE LA SOLICITUD]</w:t>
      </w:r>
      <w:r>
        <w:rPr>
          <w:rFonts w:ascii="Arial" w:hAnsi="Arial"/>
          <w:b w:val="0"/>
          <w:i w:val="0"/>
          <w:sz w:val="28"/>
        </w:rPr>
        <w:t xml:space="preserve"> ante la </w:t>
      </w:r>
      <w:r>
        <w:rPr>
          <w:rFonts w:ascii="Arial" w:hAnsi="Arial"/>
          <w:b/>
          <w:i w:val="0"/>
          <w:sz w:val="28"/>
        </w:rPr>
        <w:t>[AUTORIDAD DEMANDADA]</w:t>
      </w:r>
      <w:r>
        <w:rPr>
          <w:rFonts w:ascii="Arial" w:hAnsi="Arial"/>
          <w:b w:val="0"/>
          <w:i w:val="0"/>
          <w:sz w:val="28"/>
        </w:rPr>
        <w:t xml:space="preserve">, en la que pidió que su pensión por jubilación se incrementara por los años </w:t>
      </w:r>
      <w:r>
        <w:rPr>
          <w:rFonts w:ascii="Arial" w:hAnsi="Arial"/>
          <w:b/>
          <w:i w:val="0"/>
          <w:sz w:val="28"/>
        </w:rPr>
        <w:t>[AÑOS RECLAMADOS]</w:t>
      </w:r>
      <w:r>
        <w:rPr>
          <w:rFonts w:ascii="Arial" w:hAnsi="Arial"/>
          <w:b w:val="0"/>
          <w:i w:val="0"/>
          <w:sz w:val="28"/>
        </w:rPr>
        <w:t xml:space="preserve"> en la misma proporción en que aumentó el salario mínimo general, con pago de las diferencias resultantes, de las diferencias de aguinaldo y de su actualización, así como la incorporación de los aumentos a la nómina de pensiones.</w:t>
      </w:r>
    </w:p>
    <w:p>
      <w:pPr>
        <w:spacing w:line="360" w:lineRule="auto"/>
        <w:jc w:val="both"/>
      </w:pPr>
      <w:r>
        <w:rPr>
          <w:rFonts w:ascii="Arial" w:hAnsi="Arial"/>
          <w:b w:val="0"/>
          <w:i w:val="0"/>
          <w:sz w:val="28"/>
        </w:rPr>
        <w:t xml:space="preserve">Tratándose de negativa ficta, ésta se configuró al transcurrir el plazo del artículo 17 de la Ley Federal de Procedimiento Administrativo sin respuesta del Instituto; la autoridad deberá expresar al contestar los hechos y el derecho en que la apoya (artículo 22, segundo párrafo, de la Ley Federal de Procedimiento Contencioso Administrativo), motivos que se combaten desde ahora y, en su caso, en la ampliación que autoriza el artículo 17, fracción I, de la misma Ley. Si existe resolución expresa, ésta fue notificada el </w:t>
      </w:r>
      <w:r>
        <w:rPr>
          <w:rFonts w:ascii="Arial" w:hAnsi="Arial"/>
          <w:b/>
          <w:i w:val="0"/>
          <w:sz w:val="28"/>
        </w:rPr>
        <w:t>[FECHA DE NOTIFICACIÓN DE LA RESOLUCIÓN EXPRESA]</w:t>
      </w:r>
      <w:r>
        <w:rPr>
          <w:rFonts w:ascii="Arial" w:hAnsi="Arial"/>
          <w:b w:val="0"/>
          <w:i w:val="0"/>
          <w:sz w:val="28"/>
        </w:rPr>
        <w:t>.</w:t>
      </w:r>
    </w:p>
    <w:p>
      <w:pPr>
        <w:spacing w:line="360" w:lineRule="auto"/>
        <w:jc w:val="both"/>
      </w:pPr>
      <w:r>
        <w:rPr>
          <w:rFonts w:ascii="Arial" w:hAnsi="Arial"/>
          <w:b w:val="0"/>
          <w:i w:val="0"/>
          <w:sz w:val="28"/>
        </w:rPr>
        <w:t>Las normas cuya inobservancia se plantea son los artículos 15, quinto párrafo, y 57, tercer párrafo, de la Ley del Instituto en su texto de 1993; el artículo Décimo Octavo Transitorio de la Ley vigente desde el 1 de abril de 2007; los artículos 150, primer párrafo, fracciones II y XI, de la Ley anterior y 208, primer párrafo, fracción II, de la Ley vigente, de los que la Sala ha derivado, en casos análogos, el deber de reconocer e incrementar las pensiones conforme a la ley; y los artículos 16, primer párrafo, constitucional y 3, fracción V, de la Ley Federal de Procedimiento Administrativo.</w:t>
      </w:r>
    </w:p>
    <w:p>
      <w:pPr>
        <w:spacing w:line="360" w:lineRule="auto"/>
        <w:jc w:val="both"/>
      </w:pPr>
      <w:r>
        <w:rPr>
          <w:rFonts w:ascii="Arial" w:hAnsi="Arial"/>
          <w:b w:val="0"/>
          <w:i w:val="0"/>
          <w:sz w:val="28"/>
        </w:rPr>
        <w:t>El perjuicio es directo y continuado: cada mes la parte actora recibe una cuota diaria de pensión inferior a la que la ley le garantiza desde la concesión, y la brecha se agranda con cada ejercicio, porque los incrementos pensionarios son acumulativos y un porcentaje omitido se arrastra hacia el futuro. De prosperar este concepto, el beneficio es el mayor posible en el juicio: el reconocimiento del derecho subjetivo al sistema de incremento por salario mínimo y la condena al pago de las diferencias, no una simple reposición formal.</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exigencia constitucional. El artículo 16, primer párrafo, de la Constitución impone a toda autoridad la obligación de fundar y motivar la causa legal de sus actos, y el artículo 3, fracción V, de la Ley Federal de Procedimiento Administrativo la reitera como requisito de validez del acto administrativo. La doctrina distingue, dentro de esa garantía, una motivación formal, que se satisface con expresar normas y razones, y una motivación material, que exige que esas razones sean verdaderas y que la norma invocada rija efectivamente el supuesto.</w:t>
      </w:r>
      <w:r>
        <w:rPr>
          <w:rFonts w:ascii="Arial" w:hAnsi="Arial"/>
          <w:vertAlign w:val="superscript"/>
        </w:rPr>
        <w:t>1</w:t>
      </w:r>
    </w:p>
    <w:p>
      <w:pPr>
        <w:spacing w:line="360" w:lineRule="auto"/>
        <w:jc w:val="both"/>
      </w:pPr>
      <w:r>
        <w:rPr>
          <w:rFonts w:ascii="Arial" w:hAnsi="Arial"/>
          <w:b w:val="0"/>
          <w:i w:val="0"/>
          <w:sz w:val="28"/>
        </w:rPr>
        <w:t>Por eso no basta que la autoridad cite un precepto y enuncie un motivo: se requiere adecuación entre los motivos aducidos y las normas aplicables al caso, de manera que la hipótesis normativa invocada coincida con los hechos que se pretenden regular.</w:t>
      </w:r>
      <w:r>
        <w:rPr>
          <w:rFonts w:ascii="Arial" w:hAnsi="Arial"/>
          <w:vertAlign w:val="superscript"/>
        </w:rPr>
        <w:t>2</w:t>
      </w:r>
      <w:r>
        <w:rPr>
          <w:rFonts w:ascii="Arial" w:hAnsi="Arial"/>
          <w:b w:val="0"/>
          <w:i w:val="0"/>
          <w:sz w:val="28"/>
        </w:rPr>
        <w:t xml:space="preserve"> Cuando el Instituto aplica a una pensión el sistema de incremento de un régimen que no es el suyo, la motivación puede ser formalmente completa y, sin embargo, materialmente falsa, que es precisamente el vicio que aquí se denuncia y que la Sala ha reconocido en casos análogos.</w:t>
      </w:r>
    </w:p>
    <w:p>
      <w:pPr>
        <w:spacing w:line="360" w:lineRule="auto"/>
        <w:jc w:val="both"/>
      </w:pPr>
      <w:r>
        <w:rPr>
          <w:rFonts w:ascii="Arial" w:hAnsi="Arial"/>
          <w:b w:val="0"/>
          <w:i w:val="0"/>
          <w:sz w:val="28"/>
        </w:rPr>
        <w:t xml:space="preserve">Sobre esa base debe examinarse el texto aplicable. El artículo 57, tercer párrafo, de la Ley del Instituto, en la redacción publicada en el Diario Oficial de la Federación el 4 de enero de 1993 y vigente del 5 de enero de 1993 al 31 de diciembre de 2001, dispuso que </w:t>
      </w:r>
      <w:r>
        <w:rPr>
          <w:rFonts w:ascii="Arial" w:hAnsi="Arial"/>
          <w:b w:val="0"/>
          <w:i/>
          <w:sz w:val="28"/>
        </w:rPr>
        <w:t>«la cuantía de las pensiones se incrementará conforme aumente el salario mínimo general para el Distrito Federal, de tal modo que todo incremento porcentual a dicho salario se refleje simultáneamente en las pensiones que paga el Instituto»</w:t>
      </w:r>
      <w:r>
        <w:rPr>
          <w:rFonts w:ascii="Arial" w:hAnsi="Arial"/>
          <w:b w:val="0"/>
          <w:i w:val="0"/>
          <w:sz w:val="28"/>
        </w:rPr>
        <w:t>. El artículo 15, quinto párrafo, del mismo texto fijó el sueldo básico cotizable en un máximo de diez veces ese salario.</w:t>
      </w:r>
    </w:p>
    <w:p>
      <w:pPr>
        <w:spacing w:line="360" w:lineRule="auto"/>
        <w:jc w:val="both"/>
      </w:pPr>
      <w:r>
        <w:rPr>
          <w:rFonts w:ascii="Arial" w:hAnsi="Arial"/>
          <w:b w:val="0"/>
          <w:i w:val="0"/>
          <w:sz w:val="28"/>
        </w:rPr>
        <w:t>La regla es de una claridad que no admite interpretación correctora: el parámetro del incremento es el salario mínimo general, la proporción es la misma que el aumento porcentual de ese salario, y el momento es simultáneo. Ni el sueldo básico de los trabajadores en activo, que fue el parámetro del texto anterior a 1993, ni el Índice Nacional de Precios al Consumidor, que introdujo la reforma publicada el 1 de junio de 2001, ni la combinación de ambos que prevé el Reglamento del artículo Décimo Transitorio de la Ley de 2007, rigen a quien obtuvo su pensión bajo el texto de 1993.</w:t>
      </w:r>
    </w:p>
    <w:p>
      <w:pPr>
        <w:spacing w:line="360" w:lineRule="auto"/>
        <w:jc w:val="both"/>
      </w:pPr>
      <w:r>
        <w:rPr>
          <w:rFonts w:ascii="Arial" w:hAnsi="Arial"/>
          <w:b w:val="0"/>
          <w:i w:val="0"/>
          <w:sz w:val="28"/>
        </w:rPr>
        <w:t>Ese sistema se incorporó al patrimonio de la persona pensionada desde la concesión, porque el derecho a la pensión nace con el acto que la otorga y con las reglas que entonces determinan su cuantía y su evolución. El análisis de retroactividad de una norma verifica si ella pretende regir derechos adquiridos o situaciones consumadas antes de su entrada en vigor; distinto es el análisis de la aplicación retroactiva, que examina si el acto de autoridad extiende una norma nueva a esas situaciones.</w:t>
      </w:r>
      <w:r>
        <w:rPr>
          <w:rFonts w:ascii="Arial" w:hAnsi="Arial"/>
          <w:vertAlign w:val="superscript"/>
        </w:rPr>
        <w:t>3</w:t>
      </w:r>
      <w:r>
        <w:rPr>
          <w:rFonts w:ascii="Arial" w:hAnsi="Arial"/>
          <w:b w:val="0"/>
          <w:i w:val="0"/>
          <w:sz w:val="28"/>
        </w:rPr>
        <w:t xml:space="preserve"> Aquí ocurre lo segundo: es el acto del Instituto, no la ley, el que aplica hacia el pasado un parámetro posterior.</w:t>
      </w:r>
    </w:p>
    <w:p>
      <w:pPr>
        <w:spacing w:line="360" w:lineRule="auto"/>
        <w:jc w:val="both"/>
      </w:pPr>
      <w:r>
        <w:rPr>
          <w:rFonts w:ascii="Arial" w:hAnsi="Arial"/>
          <w:b w:val="0"/>
          <w:i w:val="0"/>
          <w:sz w:val="28"/>
        </w:rPr>
        <w:t xml:space="preserve">Lo confirma el legislador de 2007. El artículo Décimo Octavo Transitorio de la Ley del Instituto vigente desde el 1 de abril de ese año dispone que quienes a su entrada en vigor gocen de los beneficios que les otorga la Ley que se abroga </w:t>
      </w:r>
      <w:r>
        <w:rPr>
          <w:rFonts w:ascii="Arial" w:hAnsi="Arial"/>
          <w:b w:val="0"/>
          <w:i/>
          <w:sz w:val="28"/>
        </w:rPr>
        <w:t>«continuarán ejerciendo sus derechos en los términos y condiciones señalados en las disposiciones vigentes al momento de su otorgamiento»</w:t>
      </w:r>
      <w:r>
        <w:rPr>
          <w:rFonts w:ascii="Arial" w:hAnsi="Arial"/>
          <w:b w:val="0"/>
          <w:i w:val="0"/>
          <w:sz w:val="28"/>
        </w:rPr>
        <w:t>. La norma no remite al último texto de la Ley abrogada, sino a las disposiciones vigentes al momento del otorgamiento, lo que fija el régimen en la fecha de concesión y lo proyecta hacia el futuro.</w:t>
      </w:r>
    </w:p>
    <w:p>
      <w:pPr>
        <w:spacing w:line="360" w:lineRule="auto"/>
        <w:jc w:val="both"/>
      </w:pPr>
      <w:r>
        <w:rPr>
          <w:rFonts w:ascii="Arial" w:hAnsi="Arial"/>
          <w:b w:val="0"/>
          <w:i w:val="0"/>
          <w:sz w:val="28"/>
        </w:rPr>
        <w:t>Así lo exige también el artículo 14, primer párrafo, de la Constitución, que prohíbe dar a ley alguna efecto retroactivo en perjuicio de persona alguna, y el principio de progresividad del artículo 1º, tercer párrafo, constitucional, que obliga a todas las autoridades a no retroceder en el nivel de protección alcanzado por un derecho, en especial tratándose de derechos sociales como la seguridad social, cuya realización se mide por la irreversibilidad de las conquistas logradas.</w:t>
      </w:r>
      <w:r>
        <w:rPr>
          <w:rFonts w:ascii="Arial" w:hAnsi="Arial"/>
          <w:vertAlign w:val="superscript"/>
        </w:rPr>
        <w:t>4</w:t>
      </w:r>
      <w:r>
        <w:rPr>
          <w:rFonts w:ascii="Arial" w:hAnsi="Arial"/>
          <w:b w:val="0"/>
          <w:i w:val="0"/>
          <w:sz w:val="28"/>
        </w:rPr>
        <w:t xml:space="preserve"> Sustituir un sistema de incremento por otro menos favorable es una regresión ejecutada por vía administrativa.</w:t>
      </w:r>
    </w:p>
    <w:p>
      <w:pPr>
        <w:spacing w:line="360" w:lineRule="auto"/>
        <w:jc w:val="both"/>
      </w:pPr>
      <w:r>
        <w:rPr>
          <w:rFonts w:ascii="Arial" w:hAnsi="Arial"/>
          <w:b w:val="0"/>
          <w:i w:val="0"/>
          <w:sz w:val="28"/>
        </w:rPr>
        <w:t>Finalmente, incrementar las pensiones es obligación del Instituto y no depende de solicitud, obligación que la Sala ha derivado, en casos análogos, de los artículos 150, primer párrafo, fracciones II y XI, de la Ley anterior y 208, primer párrafo, fracción II, de la Ley vigente, en relación con el artículo Décimo Octavo Transitorio. Así, si la persona pensionada niega lisa y llanamente que los aumentos se aplicaron conforme a la ley, al Instituto toca probar que sí lo hizo, conforme a los artículos 42 de la Ley Federal de Procedimiento Contencioso Administrativo y 81 y 82 del Código Federal de Procedimientos Civiles.</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encuadran con exactitud en la premisa expuesta. Según la resolución de concesión de pensión que se exhibe como prueba, la </w:t>
      </w:r>
      <w:r>
        <w:rPr>
          <w:rFonts w:ascii="Arial" w:hAnsi="Arial"/>
          <w:b/>
          <w:i w:val="0"/>
          <w:sz w:val="28"/>
        </w:rPr>
        <w:t>[AUTORIDAD DEMANDADA]</w:t>
      </w:r>
      <w:r>
        <w:rPr>
          <w:rFonts w:ascii="Arial" w:hAnsi="Arial"/>
          <w:b w:val="0"/>
          <w:i w:val="0"/>
          <w:sz w:val="28"/>
        </w:rPr>
        <w:t xml:space="preserve"> otorgó a la parte actora pensión por jubilación a partir del </w:t>
      </w:r>
      <w:r>
        <w:rPr>
          <w:rFonts w:ascii="Arial" w:hAnsi="Arial"/>
          <w:b/>
          <w:i w:val="0"/>
          <w:sz w:val="28"/>
        </w:rPr>
        <w:t>[FECHA DE CONCESIÓN DE LA PENSIÓN]</w:t>
      </w:r>
      <w:r>
        <w:rPr>
          <w:rFonts w:ascii="Arial" w:hAnsi="Arial"/>
          <w:b w:val="0"/>
          <w:i w:val="0"/>
          <w:sz w:val="28"/>
        </w:rPr>
        <w:t>, fecha comprendida entre el 5 de enero de 1993 y el 31 de diciembre de 2001. Ese documento público hace prueba plena en términos de los artículos 46, fracción I, de la Ley Federal de Procedimiento Contencioso Administrativo y 129 y 202 del Código Federal de Procedimientos Civiles, y fija sin discusión el texto legal aplicable: el publicado el 4 de enero de 1993.</w:t>
      </w:r>
    </w:p>
    <w:p>
      <w:pPr>
        <w:spacing w:line="360" w:lineRule="auto"/>
        <w:jc w:val="both"/>
      </w:pPr>
      <w:r>
        <w:rPr>
          <w:rFonts w:ascii="Arial" w:hAnsi="Arial"/>
          <w:b w:val="0"/>
          <w:i w:val="0"/>
          <w:sz w:val="28"/>
        </w:rPr>
        <w:t xml:space="preserve">De los comprobantes de pago pensionario que también se exhiben se desprende que, por los años </w:t>
      </w:r>
      <w:r>
        <w:rPr>
          <w:rFonts w:ascii="Arial" w:hAnsi="Arial"/>
          <w:b/>
          <w:i w:val="0"/>
          <w:sz w:val="28"/>
        </w:rPr>
        <w:t>[AÑOS RECLAMADOS]</w:t>
      </w:r>
      <w:r>
        <w:rPr>
          <w:rFonts w:ascii="Arial" w:hAnsi="Arial"/>
          <w:b w:val="0"/>
          <w:i w:val="0"/>
          <w:sz w:val="28"/>
        </w:rPr>
        <w:t xml:space="preserve">, el Instituto aplicó a la cuota diaria incrementos de </w:t>
      </w:r>
      <w:r>
        <w:rPr>
          <w:rFonts w:ascii="Arial" w:hAnsi="Arial"/>
          <w:b/>
          <w:i w:val="0"/>
          <w:sz w:val="28"/>
        </w:rPr>
        <w:t>[PORCENTAJE APLICADO POR EL INSTITUTO EN CADA AÑO]</w:t>
      </w:r>
      <w:r>
        <w:rPr>
          <w:rFonts w:ascii="Arial" w:hAnsi="Arial"/>
          <w:b w:val="0"/>
          <w:i w:val="0"/>
          <w:sz w:val="28"/>
        </w:rPr>
        <w:t xml:space="preserve">, mientras que las resoluciones de la Comisión Nacional de los Salarios Mínimos, publicadas en el Diario Oficial de la Federación el </w:t>
      </w:r>
      <w:r>
        <w:rPr>
          <w:rFonts w:ascii="Arial" w:hAnsi="Arial"/>
          <w:b/>
          <w:i w:val="0"/>
          <w:sz w:val="28"/>
        </w:rPr>
        <w:t>[FECHAS DE PUBLICACIÓN EN EL DOF DE LAS RESOLUCIONES DE LA CONASAMI]</w:t>
      </w:r>
      <w:r>
        <w:rPr>
          <w:rFonts w:ascii="Arial" w:hAnsi="Arial"/>
          <w:b w:val="0"/>
          <w:i w:val="0"/>
          <w:sz w:val="28"/>
        </w:rPr>
        <w:t xml:space="preserve">, fijaron para esos años aumentos al salario mínimo general de </w:t>
      </w:r>
      <w:r>
        <w:rPr>
          <w:rFonts w:ascii="Arial" w:hAnsi="Arial"/>
          <w:b/>
          <w:i w:val="0"/>
          <w:sz w:val="28"/>
        </w:rPr>
        <w:t>[PORCENTAJE DE AUMENTO DEL SALARIO MÍNIMO EN CADA AÑO]</w:t>
      </w:r>
      <w:r>
        <w:rPr>
          <w:rFonts w:ascii="Arial" w:hAnsi="Arial"/>
          <w:b w:val="0"/>
          <w:i w:val="0"/>
          <w:sz w:val="28"/>
        </w:rPr>
        <w:t>. La diferencia año por año consta en la tabla comparativa que se acompaña.</w:t>
      </w:r>
    </w:p>
    <w:p>
      <w:pPr>
        <w:spacing w:line="360" w:lineRule="auto"/>
        <w:jc w:val="both"/>
      </w:pPr>
      <w:r>
        <w:rPr>
          <w:rFonts w:ascii="Arial" w:hAnsi="Arial"/>
          <w:b w:val="0"/>
          <w:i w:val="0"/>
          <w:sz w:val="28"/>
        </w:rPr>
        <w:t>Esas resoluciones son hechos notorios que pueden invocarse conforme al artículo 50, primer párrafo, de la Ley Federal de Procedimiento Contencioso Administrativo, pues se trata de publicaciones oficiales cuyo contenido no está sujeto a prueba. La subsunción es, entonces, directa: la ley aplicable ordenaba que todo incremento porcentual al salario mínimo se reflejara simultáneamente en la pensión; el Instituto aplicó porcentajes menores y con un parámetro distinto; luego, la pensión no se incrementó en los términos de ley y la negativa a corregirla carece de motivación material.</w:t>
      </w:r>
    </w:p>
    <w:p>
      <w:pPr>
        <w:spacing w:line="360" w:lineRule="auto"/>
        <w:jc w:val="both"/>
      </w:pPr>
      <w:r>
        <w:rPr>
          <w:rFonts w:ascii="Arial" w:hAnsi="Arial"/>
          <w:b w:val="0"/>
          <w:i w:val="0"/>
          <w:sz w:val="28"/>
        </w:rPr>
        <w:t>La parte actora niega lisa y llanamente que el Instituto haya incrementado su pensión conforme a los artículos 15, quinto párrafo, y 57, tercer párrafo, del texto de 1993 por los años reclamados. Esa negativa no envuelve la afirmación de hecho alguno, de modo que la carga de demostrar lo contrario recae en la autoridad, que además es quien tiene en su poder la nómina, los expedientes de pensión y los cálculos. Quien afirma que cumplió con un deber legal está obligado a probarlo; quien lo niega no tiene que acreditar una omisión.</w:t>
      </w:r>
    </w:p>
    <w:p>
      <w:pPr>
        <w:spacing w:line="360" w:lineRule="auto"/>
        <w:jc w:val="both"/>
      </w:pPr>
      <w:r>
        <w:rPr>
          <w:rFonts w:ascii="Arial" w:hAnsi="Arial"/>
          <w:b w:val="0"/>
          <w:i w:val="0"/>
          <w:sz w:val="28"/>
        </w:rPr>
        <w:t xml:space="preserve">Frente a ello, la autoridad sostiene, o sostendrá al contestar, que incrementó la pensión </w:t>
      </w:r>
      <w:r>
        <w:rPr>
          <w:rFonts w:ascii="Arial" w:hAnsi="Arial"/>
          <w:b w:val="0"/>
          <w:i/>
          <w:sz w:val="28"/>
        </w:rPr>
        <w:t>«conforme al sueldo básico de los trabajadores en activo o al Índice Nacional de Precios al Consumidor, aplicando el más benéfico»</w:t>
      </w:r>
      <w:r>
        <w:rPr>
          <w:rFonts w:ascii="Arial" w:hAnsi="Arial"/>
          <w:b w:val="0"/>
          <w:i w:val="0"/>
          <w:sz w:val="28"/>
        </w:rPr>
        <w:t>, y remite a los catálogos de plazas o pantallas de consulta de su portal electrónico como prueba de que la pensión se aumentó conforme a derecho. Ese razonamiento es lógicamente inválido por tres razones.</w:t>
      </w:r>
    </w:p>
    <w:p>
      <w:pPr>
        <w:spacing w:line="360" w:lineRule="auto"/>
        <w:jc w:val="both"/>
      </w:pPr>
      <w:r>
        <w:rPr>
          <w:rFonts w:ascii="Arial" w:hAnsi="Arial"/>
          <w:b w:val="0"/>
          <w:i w:val="0"/>
          <w:sz w:val="28"/>
        </w:rPr>
        <w:t>En primer lugar, incurre en ignoratio elenchi, la falacia que consiste en abandonar la cuestión en litigio para responder a otra distinta.</w:t>
      </w:r>
      <w:r>
        <w:rPr>
          <w:rFonts w:ascii="Arial" w:hAnsi="Arial"/>
          <w:vertAlign w:val="superscript"/>
        </w:rPr>
        <w:t>5</w:t>
      </w:r>
      <w:r>
        <w:rPr>
          <w:rFonts w:ascii="Arial" w:hAnsi="Arial"/>
          <w:b w:val="0"/>
          <w:i w:val="0"/>
          <w:sz w:val="28"/>
        </w:rPr>
        <w:t xml:space="preserve"> La cuestión planteada no es si el Instituto aplicó correctamente el sueldo básico o el índice de precios, sino si aplicó el parámetro que la ley fijó para esta pensión, que es el salario mínimo. Demostrar con esmero que se calculó bien un parámetro inaplicable es probar algo que nadie discute y dejar intacta la pretensión: que el sistema de incremento que rige la pensión es otro.</w:t>
      </w:r>
    </w:p>
    <w:p>
      <w:pPr>
        <w:spacing w:line="360" w:lineRule="auto"/>
        <w:jc w:val="both"/>
      </w:pPr>
      <w:r>
        <w:rPr>
          <w:rFonts w:ascii="Arial" w:hAnsi="Arial"/>
          <w:b w:val="0"/>
          <w:i w:val="0"/>
          <w:sz w:val="28"/>
        </w:rPr>
        <w:t>Esa desviación encierra, a su vez, una aplicación retroactiva de la ley en perjuicio de la parte actora, porque el sueldo básico de los activos y el índice de precios provienen, respectivamente, del texto anterior a 1993 y de la reforma de 2001, o del Reglamento del artículo Décimo Transitorio de la Ley de 2007, regímenes que corresponden a pensiones concedidas en otras fechas. Al trasladarlos a una pensión nacida bajo el texto de 1993, el Instituto hace exactamente lo que el artículo Décimo Octavo Transitorio prohíbe: alterar los términos y condiciones vigentes al momento del otorgamiento.</w:t>
      </w:r>
    </w:p>
    <w:p>
      <w:pPr>
        <w:spacing w:line="360" w:lineRule="auto"/>
        <w:jc w:val="both"/>
      </w:pPr>
      <w:r>
        <w:rPr>
          <w:rFonts w:ascii="Arial" w:hAnsi="Arial"/>
          <w:b w:val="0"/>
          <w:i w:val="0"/>
          <w:sz w:val="28"/>
        </w:rPr>
        <w:t>En segundo lugar, la remisión a los catálogos de plazas de su portal es una forma de eludir la carga de la prueba, falacia que la doctrina describe como no aportar razones que fundamenten la conclusión o pretender que las aporte el oponente.</w:t>
      </w:r>
      <w:r>
        <w:rPr>
          <w:rFonts w:ascii="Arial" w:hAnsi="Arial"/>
          <w:vertAlign w:val="superscript"/>
        </w:rPr>
        <w:t>6</w:t>
      </w:r>
      <w:r>
        <w:rPr>
          <w:rFonts w:ascii="Arial" w:hAnsi="Arial"/>
          <w:b w:val="0"/>
          <w:i w:val="0"/>
          <w:sz w:val="28"/>
        </w:rPr>
        <w:t xml:space="preserve"> Aun admitiendo que esas pantallas sean documentos públicos digitalizados en términos del artículo 210-A del Código Federal de Procedimientos Civiles, sólo acreditan los porcentajes que el Instituto dice haber autorizado para cada plaza y nivel, no que la cuota diaria de esta pensión se haya aumentado real y efectivamente conforme a la ley, que era lo único que debía probar.</w:t>
      </w:r>
    </w:p>
    <w:p>
      <w:pPr>
        <w:spacing w:line="360" w:lineRule="auto"/>
        <w:jc w:val="both"/>
      </w:pPr>
      <w:r>
        <w:rPr>
          <w:rFonts w:ascii="Arial" w:hAnsi="Arial"/>
          <w:b w:val="0"/>
          <w:i w:val="0"/>
          <w:sz w:val="28"/>
        </w:rPr>
        <w:t xml:space="preserve">En tercer lugar, si la autoridad opone la prescripción prevista en los artículos 186 de la Ley anterior y 248 de la Ley vigente, la defensa es inoperante respecto de los años reclamados, porque la solicitud se presentó el </w:t>
      </w:r>
      <w:r>
        <w:rPr>
          <w:rFonts w:ascii="Arial" w:hAnsi="Arial"/>
          <w:b/>
          <w:i w:val="0"/>
          <w:sz w:val="28"/>
        </w:rPr>
        <w:t>[FECHA DE PRESENTACIÓN DE LA SOLICITUD]</w:t>
      </w:r>
      <w:r>
        <w:rPr>
          <w:rFonts w:ascii="Arial" w:hAnsi="Arial"/>
          <w:b w:val="0"/>
          <w:i w:val="0"/>
          <w:sz w:val="28"/>
        </w:rPr>
        <w:t xml:space="preserve"> y los ejercicios cuyo incremento se pide son los inmediatos anteriores a esa fecha, comprendidos dentro del plazo que esos preceptos establecen </w:t>
      </w:r>
      <w:r>
        <w:rPr>
          <w:rFonts w:ascii="Arial" w:hAnsi="Arial"/>
          <w:b/>
          <w:i w:val="0"/>
          <w:sz w:val="28"/>
        </w:rPr>
        <w:t>[VERIFICAR PLAZO APLICABLE]</w:t>
      </w:r>
      <w:r>
        <w:rPr>
          <w:rFonts w:ascii="Arial" w:hAnsi="Arial"/>
          <w:b w:val="0"/>
          <w:i w:val="0"/>
          <w:sz w:val="28"/>
        </w:rPr>
        <w:t>. La reclamación se acotó deliberadamente a esos años para que ninguna de las diferencias esté alcanzada por la prescripción.</w:t>
      </w:r>
    </w:p>
    <w:p>
      <w:pPr>
        <w:spacing w:line="360" w:lineRule="auto"/>
        <w:jc w:val="both"/>
      </w:pPr>
      <w:r>
        <w:rPr>
          <w:rFonts w:ascii="Arial" w:hAnsi="Arial"/>
          <w:b w:val="0"/>
          <w:i w:val="0"/>
          <w:sz w:val="28"/>
        </w:rPr>
        <w:t>Debe precisarse, para evitar que la autoridad desplace la litis, que en este concepto se controvierte el incremento anual de la pensión, no el tope máximo de su cuantía. La conversión del tope de diez salarios mínimos que preveía el artículo 15, quinto párrafo, en Unidades de Medida y Actualización es una cuestión distinta, que no forma parte de esta pretensión y que, en su caso, se plantea en apartado separado; confundir ambas sería introducir un debate ajeno al que aquí se somete a la Sala.</w:t>
      </w:r>
    </w:p>
    <w:p>
      <w:pPr>
        <w:spacing w:line="360" w:lineRule="auto"/>
        <w:jc w:val="both"/>
      </w:pPr>
      <w:r>
        <w:rPr>
          <w:rFonts w:ascii="Arial" w:hAnsi="Arial"/>
          <w:b w:val="0"/>
          <w:i w:val="0"/>
          <w:sz w:val="28"/>
        </w:rPr>
        <w:t>Tampoco es obstáculo la objeción de que el salario mínimo dejó de ser unidad de referencia para fines ajenos a su naturaleza a partir de la reforma constitucional publicada el 27 de enero de 2016. El derecho de la parte actora no consiste en usar el salario mínimo como unidad de cuenta, sino en que su pensión aumente en la misma proporción en que aumente el salario de los trabajadores peor remunerados, regla sustantiva de seguridad social que la ley de 1993 fijó y que el legislador de 2007 decidió conservar para las pensiones ya otorgadas; nada en la reforma de 2016 la derogó.</w:t>
      </w:r>
    </w:p>
    <w:p>
      <w:pPr>
        <w:spacing w:line="360" w:lineRule="auto"/>
        <w:jc w:val="both"/>
      </w:pPr>
      <w:r>
        <w:rPr>
          <w:rFonts w:ascii="Arial" w:hAnsi="Arial"/>
          <w:b w:val="0"/>
          <w:i w:val="0"/>
          <w:sz w:val="28"/>
        </w:rPr>
        <w:t>La consecuencia de aceptar la postura del Instituto revela por sí sola el error: si bastara con invocar un parámetro cualquiera y remitir a una página electrónica para tener por cumplida la obligación de incrementar las pensiones, el artículo Décimo Octavo Transitorio quedaría vacío y el régimen de cada persona pensionada dependería de la conveniencia administrativa del momento. Ese resultado es incompatible con el derecho adquirido, con la prohibición de retroactividad y con la progresividad, por lo que ninguna interpretación que lo produzca puede reputarse correcta.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pensión de la parte actora se concedió bajo el texto de la Ley del Instituto publicado el 4 de enero de 1993, cuyo artículo 57, tercer párrafo, ordena que todo incremento porcentual al salario mínimo general se refleje simultáneamente en las pensiones; ese sistema se incorporó a su patrimonio desde la concesión y el artículo Décimo Octavo Transitorio de la Ley vigente lo preserva; el Instituto aplicó parámetros distintos y porcentajes menores, y no probó lo contrario. La negativa impugnada carece, pues, de fundamentación y motivación en su aspecto material.</w:t>
      </w:r>
    </w:p>
    <w:p>
      <w:pPr>
        <w:spacing w:line="360" w:lineRule="auto"/>
        <w:jc w:val="both"/>
      </w:pPr>
      <w:r>
        <w:rPr>
          <w:rFonts w:ascii="Arial" w:hAnsi="Arial"/>
          <w:b w:val="0"/>
          <w:i w:val="0"/>
          <w:sz w:val="28"/>
        </w:rPr>
        <w:t xml:space="preserve">Por lo expuesto, procede declarar fundado el presente concepto de impugnación y decretar la nulidad de la resolución impugnada con fundamento en los artículos 51, fracción IV, y 52 de la Ley Federal de Procedimiento Contencioso Administrativo, reconociendo a la parte actora, en términos de la fracción V, inciso a), de este último precepto, el derecho subjetivo a que su pensión se incremente conforme a los aumentos del salario mínimo general, y condenando a la </w:t>
      </w:r>
      <w:r>
        <w:rPr>
          <w:rFonts w:ascii="Arial" w:hAnsi="Arial"/>
          <w:b/>
          <w:i w:val="0"/>
          <w:sz w:val="28"/>
        </w:rPr>
        <w:t>[AUTORIDAD DEMANDADA]</w:t>
      </w:r>
      <w:r>
        <w:rPr>
          <w:rFonts w:ascii="Arial" w:hAnsi="Arial"/>
          <w:b w:val="0"/>
          <w:i w:val="0"/>
          <w:sz w:val="28"/>
        </w:rPr>
        <w:t xml:space="preserve"> a aplicar a la cuota diaria las diferencias porcentuales entre lo pagado y lo debido por los años </w:t>
      </w:r>
      <w:r>
        <w:rPr>
          <w:rFonts w:ascii="Arial" w:hAnsi="Arial"/>
          <w:b/>
          <w:i w:val="0"/>
          <w:sz w:val="28"/>
        </w:rPr>
        <w:t>[AÑOS RECLAMADOS]</w:t>
      </w:r>
      <w:r>
        <w:rPr>
          <w:rFonts w:ascii="Arial" w:hAnsi="Arial"/>
          <w:b w:val="0"/>
          <w:i w:val="0"/>
          <w:sz w:val="28"/>
        </w:rPr>
        <w:t>.</w:t>
      </w:r>
    </w:p>
    <w:p>
      <w:pPr>
        <w:spacing w:line="360" w:lineRule="auto"/>
        <w:jc w:val="both"/>
      </w:pPr>
      <w:r>
        <w:rPr>
          <w:rFonts w:ascii="Arial" w:hAnsi="Arial"/>
          <w:b w:val="0"/>
          <w:i w:val="0"/>
          <w:sz w:val="28"/>
        </w:rPr>
        <w:t>Se pide, asimismo, que la condena comprenda el pago en una sola exhibición de las diferencias resultantes, incluidas las de aguinaldo de cuarenta días por año sobre la cuota diaria corregida, conforme al artículo 42 Bis de la Ley Federal de los Trabajadores al Servicio del Estado; su actualización conforme al artículo 6, fracción II, de la Ley del Impuesto sobre la Renta; y la incorporación de los aumentos a la nómina, de modo que los ejercicios posteriores se calculen sobre la base corregida. Dado que este concepto otorga a la parte actora el mayor beneficio posible, se solicita su estudio preferente.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179.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 p. 39.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926.</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82.</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38.</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