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TFJA. NEGATIVA DE DEVOLUCIÓN DE SALDO A FAVOR POR LA DESCRIPCIÓN DEL CFDI</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adapta el concepto de impugnación a tu demanda de nulidad. Primero identifica en el oficio de negativa el motivo exacto del rechazo y transcríbelo con sus palabras; después revisa el acuse de la solicitud, el requerimiento de información y lo que exhibiste para cumplirlo, y localiza el documento donde ya constaba la naturaleza real del servicio (contrato, relación de proveedores, pólizas). Ofrece esas constancias como pruebas. Comprueba también que la resolución reconozca que cumpliste el requerimiento y que revisó tus papeles de trabajo, como lo afirma el primer párrafo de la aplicación al caso; si no fue así, ajusta ese párrafo a lo que diga tu oficio.</w:t>
      </w:r>
    </w:p>
    <w:p>
      <w:pPr>
        <w:spacing w:line="360" w:lineRule="auto"/>
        <w:jc w:val="both"/>
      </w:pPr>
      <w:r>
        <w:rPr>
          <w:rFonts w:ascii="Arial" w:hAnsi="Arial"/>
          <w:b w:val="0"/>
          <w:i w:val="0"/>
          <w:sz w:val="24"/>
        </w:rPr>
        <w:t>Si la resolución impugnada recayó a un recurso de revocación, ajusta el párrafo final del planteamiento y el de litis abierta, y verifica que las pruebas se hayan ofrecido en el recurso; si tu empresa no realiza actividades a tasa 0%, elimina los pasajes que se refieren a ese supuesto (uno en el planteamiento y otro en la premisa mayor). Recuerda que la demanda de nulidad se presenta en treinta días (artículo 58-2, párrafo tercero, de la Ley Federal de Procedimiento Contencioso Administrativo, plazo que rige también en la vía sumaria).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 conviene que sea el primero, por ser el de mayor beneficio.</w:t>
      </w:r>
    </w:p>
    <w:p>
      <w:pPr>
        <w:spacing w:line="360" w:lineRule="auto"/>
        <w:jc w:val="both"/>
      </w:pPr>
      <w:r>
        <w:rPr>
          <w:rFonts w:ascii="Arial" w:hAnsi="Arial"/>
          <w:b/>
          <w:i w:val="0"/>
          <w:sz w:val="24"/>
        </w:rPr>
        <w:t>[NÚMERO DE OFICIO DE LA RESOLUCIÓN IMPUGNADA]</w:t>
      </w:r>
      <w:r>
        <w:rPr>
          <w:rFonts w:ascii="Arial" w:hAnsi="Arial"/>
          <w:b w:val="0"/>
          <w:i w:val="0"/>
          <w:sz w:val="24"/>
        </w:rPr>
        <w:t>: el número exacto del oficio que negó total o parcialmente la devolución.</w:t>
      </w:r>
    </w:p>
    <w:p>
      <w:pPr>
        <w:spacing w:line="360" w:lineRule="auto"/>
        <w:jc w:val="both"/>
      </w:pPr>
      <w:r>
        <w:rPr>
          <w:rFonts w:ascii="Arial" w:hAnsi="Arial"/>
          <w:b/>
          <w:i w:val="0"/>
          <w:sz w:val="24"/>
        </w:rPr>
        <w:t>[AUTORIDAD DEMANDADA]</w:t>
      </w:r>
      <w:r>
        <w:rPr>
          <w:rFonts w:ascii="Arial" w:hAnsi="Arial"/>
          <w:b w:val="0"/>
          <w:i w:val="0"/>
          <w:sz w:val="24"/>
        </w:rPr>
        <w:t>: la unidad administrativa emisora, con su denominación completa.</w:t>
      </w:r>
    </w:p>
    <w:p>
      <w:pPr>
        <w:spacing w:line="360" w:lineRule="auto"/>
        <w:jc w:val="both"/>
      </w:pPr>
      <w:r>
        <w:rPr>
          <w:rFonts w:ascii="Arial" w:hAnsi="Arial"/>
          <w:b/>
          <w:i w:val="0"/>
          <w:sz w:val="24"/>
        </w:rPr>
        <w:t>[NOMBRE DE LA PARTE ACTORA]</w:t>
      </w:r>
      <w:r>
        <w:rPr>
          <w:rFonts w:ascii="Arial" w:hAnsi="Arial"/>
          <w:b w:val="0"/>
          <w:i w:val="0"/>
          <w:sz w:val="24"/>
        </w:rPr>
        <w:t>: denominación o razón social de la contribuyente solicitante.</w:t>
      </w:r>
    </w:p>
    <w:p>
      <w:pPr>
        <w:spacing w:line="360" w:lineRule="auto"/>
        <w:jc w:val="both"/>
      </w:pPr>
      <w:r>
        <w:rPr>
          <w:rFonts w:ascii="Arial" w:hAnsi="Arial"/>
          <w:b/>
          <w:i w:val="0"/>
          <w:sz w:val="24"/>
        </w:rPr>
        <w:t>[MONTO NEGADO]</w:t>
      </w:r>
      <w:r>
        <w:rPr>
          <w:rFonts w:ascii="Arial" w:hAnsi="Arial"/>
          <w:b w:val="0"/>
          <w:i w:val="0"/>
          <w:sz w:val="24"/>
        </w:rPr>
        <w:t>: la cantidad cuya devolución se rechazó, con número y letra; si la negativa fue total, el monto completo.</w:t>
      </w:r>
    </w:p>
    <w:p>
      <w:pPr>
        <w:spacing w:line="360" w:lineRule="auto"/>
        <w:jc w:val="both"/>
      </w:pPr>
      <w:r>
        <w:rPr>
          <w:rFonts w:ascii="Arial" w:hAnsi="Arial"/>
          <w:b/>
          <w:i w:val="0"/>
          <w:sz w:val="24"/>
        </w:rPr>
        <w:t>[IMPUESTO Y PERIODO DEL SALDO A FAVOR]</w:t>
      </w:r>
      <w:r>
        <w:rPr>
          <w:rFonts w:ascii="Arial" w:hAnsi="Arial"/>
          <w:b w:val="0"/>
          <w:i w:val="0"/>
          <w:sz w:val="24"/>
        </w:rPr>
        <w:t>: por ejemplo, impuesto al valor agregado de mayo de 2024.</w:t>
      </w:r>
    </w:p>
    <w:p>
      <w:pPr>
        <w:spacing w:line="360" w:lineRule="auto"/>
        <w:jc w:val="both"/>
      </w:pPr>
      <w:r>
        <w:rPr>
          <w:rFonts w:ascii="Arial" w:hAnsi="Arial"/>
          <w:b/>
          <w:i w:val="0"/>
          <w:sz w:val="24"/>
        </w:rPr>
        <w:t>[DESCRIPCIÓN ASENTADA EN LOS CFDI]</w:t>
      </w:r>
      <w:r>
        <w:rPr>
          <w:rFonts w:ascii="Arial" w:hAnsi="Arial"/>
          <w:b w:val="0"/>
          <w:i w:val="0"/>
          <w:sz w:val="24"/>
        </w:rPr>
        <w:t>: el concepto literal que aparece en los comprobantes rechazados.</w:t>
      </w:r>
    </w:p>
    <w:p>
      <w:pPr>
        <w:spacing w:line="360" w:lineRule="auto"/>
        <w:jc w:val="both"/>
      </w:pPr>
      <w:r>
        <w:rPr>
          <w:rFonts w:ascii="Arial" w:hAnsi="Arial"/>
          <w:b/>
          <w:i w:val="0"/>
          <w:sz w:val="24"/>
        </w:rPr>
        <w:t>[ACTIVIDAD PREPONDERANTE SEGÚN LA AUTORIDAD]</w:t>
      </w:r>
      <w:r>
        <w:rPr>
          <w:rFonts w:ascii="Arial" w:hAnsi="Arial"/>
          <w:b w:val="0"/>
          <w:i w:val="0"/>
          <w:sz w:val="24"/>
        </w:rPr>
        <w:t>: el giro que la resolución invoca, tal como lo escribió la autoridad.</w:t>
      </w:r>
    </w:p>
    <w:p>
      <w:pPr>
        <w:spacing w:line="360" w:lineRule="auto"/>
        <w:jc w:val="both"/>
      </w:pPr>
      <w:r>
        <w:rPr>
          <w:rFonts w:ascii="Arial" w:hAnsi="Arial"/>
          <w:b/>
          <w:i w:val="0"/>
          <w:sz w:val="24"/>
        </w:rPr>
        <w:t>[FECHA DE NOTIFICACIÓN DE LA RESOLUCIÓN IMPUGNADA]</w:t>
      </w:r>
      <w:r>
        <w:rPr>
          <w:rFonts w:ascii="Arial" w:hAnsi="Arial"/>
          <w:b w:val="0"/>
          <w:i w:val="0"/>
          <w:sz w:val="24"/>
        </w:rPr>
        <w:t>: fecha en que se notificó la negativa, incluido el buzón tributario.</w:t>
      </w:r>
    </w:p>
    <w:p>
      <w:pPr>
        <w:spacing w:line="360" w:lineRule="auto"/>
        <w:jc w:val="both"/>
      </w:pPr>
      <w:r>
        <w:rPr>
          <w:rFonts w:ascii="Arial" w:hAnsi="Arial"/>
          <w:b/>
          <w:i w:val="0"/>
          <w:sz w:val="24"/>
        </w:rPr>
        <w:t>[FECHA DE LA SOLICITUD DE DEVOLUCIÓN]</w:t>
      </w:r>
      <w:r>
        <w:rPr>
          <w:rFonts w:ascii="Arial" w:hAnsi="Arial"/>
          <w:b w:val="0"/>
          <w:i w:val="0"/>
          <w:sz w:val="24"/>
        </w:rPr>
        <w:t>: fecha del acuse de la solicitud presentada ante la autoridad.</w:t>
      </w:r>
    </w:p>
    <w:p>
      <w:pPr>
        <w:spacing w:line="360" w:lineRule="auto"/>
        <w:jc w:val="both"/>
      </w:pPr>
      <w:r>
        <w:rPr>
          <w:rFonts w:ascii="Arial" w:hAnsi="Arial"/>
          <w:b/>
          <w:i w:val="0"/>
          <w:sz w:val="24"/>
        </w:rPr>
        <w:t>[MONTO SOLICITADO EN DEVOLUCIÓN]</w:t>
      </w:r>
      <w:r>
        <w:rPr>
          <w:rFonts w:ascii="Arial" w:hAnsi="Arial"/>
          <w:b w:val="0"/>
          <w:i w:val="0"/>
          <w:sz w:val="24"/>
        </w:rPr>
        <w:t>: el saldo a favor total pedido en la solicitud.</w:t>
      </w:r>
    </w:p>
    <w:p>
      <w:pPr>
        <w:spacing w:line="360" w:lineRule="auto"/>
        <w:jc w:val="both"/>
      </w:pPr>
      <w:r>
        <w:rPr>
          <w:rFonts w:ascii="Arial" w:hAnsi="Arial"/>
          <w:b/>
          <w:i w:val="0"/>
          <w:sz w:val="24"/>
        </w:rPr>
        <w:t>[DOCUMENTACIÓN EXHIBIDA EN EL TRÁMITE]</w:t>
      </w:r>
      <w:r>
        <w:rPr>
          <w:rFonts w:ascii="Arial" w:hAnsi="Arial"/>
          <w:b w:val="0"/>
          <w:i w:val="0"/>
          <w:sz w:val="24"/>
        </w:rPr>
        <w:t>: lista de lo que entregaste al cumplir el requerimiento (pólizas, papeles de trabajo, balanzas, escritos aclaratorios, relación de proveedores).</w:t>
      </w:r>
    </w:p>
    <w:p>
      <w:pPr>
        <w:spacing w:line="360" w:lineRule="auto"/>
        <w:jc w:val="both"/>
      </w:pPr>
      <w:r>
        <w:rPr>
          <w:rFonts w:ascii="Arial" w:hAnsi="Arial"/>
          <w:b/>
          <w:i w:val="0"/>
          <w:sz w:val="24"/>
        </w:rPr>
        <w:t>[NATURALEZA REAL DEL SERVICIO O BIEN ADQUIRIDO]</w:t>
      </w:r>
      <w:r>
        <w:rPr>
          <w:rFonts w:ascii="Arial" w:hAnsi="Arial"/>
          <w:b w:val="0"/>
          <w:i w:val="0"/>
          <w:sz w:val="24"/>
        </w:rPr>
        <w:t>: qué fue realmente la operación, por ejemplo honorarios contables por la gestión de devoluciones.</w:t>
      </w:r>
    </w:p>
    <w:p>
      <w:pPr>
        <w:spacing w:line="360" w:lineRule="auto"/>
        <w:jc w:val="both"/>
      </w:pPr>
      <w:r>
        <w:rPr>
          <w:rFonts w:ascii="Arial" w:hAnsi="Arial"/>
          <w:b/>
          <w:i w:val="0"/>
          <w:sz w:val="24"/>
        </w:rPr>
        <w:t>[VÍNCULO DEL GASTO CON LA OPERACIÓN DE LA EMPRESA]</w:t>
      </w:r>
      <w:r>
        <w:rPr>
          <w:rFonts w:ascii="Arial" w:hAnsi="Arial"/>
          <w:b w:val="0"/>
          <w:i w:val="0"/>
          <w:sz w:val="24"/>
        </w:rPr>
        <w:t>: una o dos oraciones que expliquen por qué ese gasto sirve a la actividad de la empresa, por ejemplo que permite recuperar los saldos a favor de los que depende su flujo de efectivo.</w:t>
      </w:r>
    </w:p>
    <w:p/>
    <w:p>
      <w:pPr>
        <w:spacing w:line="360" w:lineRule="auto"/>
        <w:jc w:val="both"/>
      </w:pPr>
      <w:r>
        <w:rPr>
          <w:rFonts w:ascii="Arial" w:hAnsi="Arial"/>
          <w:b/>
          <w:sz w:val="28"/>
        </w:rPr>
        <w:t>[NÚMERO ORDINAL DEL CONCEPTO] CONCEPTO DE IMPUGNACIÓN. Indebida fundamentación y motivación de la negativa de devolución de saldo a favor. La autoridad rechazó el acreditamiento del impuesto trasladado con apoyo exclusivo en la descripción de los comprobantes fiscales y en el giro preponderante de la contribuyente, sin analizar la naturaleza de la operación ni la documentación exhibida en el trámite, en contravención de los artículos 16 constitucional, 22 y 38, fracción IV, del Código Fiscal de la Federación, 27, fracción I, de la Ley del Impuesto sobre la Renta y 5, fracción I, de la Ley del Impuesto al Valor Agregado.</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la resolución contenida en el oficio </w:t>
      </w:r>
      <w:r>
        <w:rPr>
          <w:rFonts w:ascii="Arial" w:hAnsi="Arial"/>
          <w:b/>
          <w:i w:val="0"/>
          <w:sz w:val="28"/>
        </w:rPr>
        <w:t>[NÚMERO DE OFICIO DE LA RESOLUCIÓN IMPUGNADA]</w:t>
      </w:r>
      <w:r>
        <w:rPr>
          <w:rFonts w:ascii="Arial" w:hAnsi="Arial"/>
          <w:b w:val="0"/>
          <w:i w:val="0"/>
          <w:sz w:val="28"/>
        </w:rPr>
        <w:t xml:space="preserve">, emitida por la </w:t>
      </w:r>
      <w:r>
        <w:rPr>
          <w:rFonts w:ascii="Arial" w:hAnsi="Arial"/>
          <w:b/>
          <w:i w:val="0"/>
          <w:sz w:val="28"/>
        </w:rPr>
        <w:t>[AUTORIDAD DEMANDADA]</w:t>
      </w:r>
      <w:r>
        <w:rPr>
          <w:rFonts w:ascii="Arial" w:hAnsi="Arial"/>
          <w:b w:val="0"/>
          <w:i w:val="0"/>
          <w:sz w:val="28"/>
        </w:rPr>
        <w:t xml:space="preserve">, mediante la cual se negó a </w:t>
      </w:r>
      <w:r>
        <w:rPr>
          <w:rFonts w:ascii="Arial" w:hAnsi="Arial"/>
          <w:b/>
          <w:i w:val="0"/>
          <w:sz w:val="28"/>
        </w:rPr>
        <w:t>[NOMBRE DE LA PARTE ACTORA]</w:t>
      </w:r>
      <w:r>
        <w:rPr>
          <w:rFonts w:ascii="Arial" w:hAnsi="Arial"/>
          <w:b w:val="0"/>
          <w:i w:val="0"/>
          <w:sz w:val="28"/>
        </w:rPr>
        <w:t xml:space="preserve"> la devolución de la cantidad de </w:t>
      </w:r>
      <w:r>
        <w:rPr>
          <w:rFonts w:ascii="Arial" w:hAnsi="Arial"/>
          <w:b/>
          <w:i w:val="0"/>
          <w:sz w:val="28"/>
        </w:rPr>
        <w:t>[MONTO NEGADO]</w:t>
      </w:r>
      <w:r>
        <w:rPr>
          <w:rFonts w:ascii="Arial" w:hAnsi="Arial"/>
          <w:b w:val="0"/>
          <w:i w:val="0"/>
          <w:sz w:val="28"/>
        </w:rPr>
        <w:t xml:space="preserve"> del saldo a favor de </w:t>
      </w:r>
      <w:r>
        <w:rPr>
          <w:rFonts w:ascii="Arial" w:hAnsi="Arial"/>
          <w:b/>
          <w:i w:val="0"/>
          <w:sz w:val="28"/>
        </w:rPr>
        <w:t>[IMPUESTO Y PERIODO DEL SALDO A FAVOR]</w:t>
      </w:r>
      <w:r>
        <w:rPr>
          <w:rFonts w:ascii="Arial" w:hAnsi="Arial"/>
          <w:b w:val="0"/>
          <w:i w:val="0"/>
          <w:sz w:val="28"/>
        </w:rPr>
        <w:t>, se encuentra indebida e insuficientemente fundada y motivada.</w:t>
      </w:r>
    </w:p>
    <w:p>
      <w:pPr>
        <w:spacing w:line="360" w:lineRule="auto"/>
        <w:jc w:val="both"/>
      </w:pPr>
      <w:r>
        <w:rPr>
          <w:rFonts w:ascii="Arial" w:hAnsi="Arial"/>
          <w:b w:val="0"/>
          <w:i w:val="0"/>
          <w:sz w:val="28"/>
        </w:rPr>
        <w:t xml:space="preserve">El único motivo del rechazo consiste en que los comprobantes fiscales describen la operación como </w:t>
      </w:r>
      <w:r>
        <w:rPr>
          <w:rFonts w:ascii="Arial" w:hAnsi="Arial"/>
          <w:b w:val="0"/>
          <w:i/>
          <w:sz w:val="28"/>
        </w:rPr>
        <w:t>«[DESCRIPCIÓN ASENTADA EN LOS CFDI]»</w:t>
      </w:r>
      <w:r>
        <w:rPr>
          <w:rFonts w:ascii="Arial" w:hAnsi="Arial"/>
          <w:b w:val="0"/>
          <w:i w:val="0"/>
          <w:sz w:val="28"/>
        </w:rPr>
        <w:t xml:space="preserve"> y en que la actividad preponderante de la solicitante es </w:t>
      </w:r>
      <w:r>
        <w:rPr>
          <w:rFonts w:ascii="Arial" w:hAnsi="Arial"/>
          <w:b w:val="0"/>
          <w:i/>
          <w:sz w:val="28"/>
        </w:rPr>
        <w:t>«[ACTIVIDAD PREPONDERANTE SEGÚN LA AUTORIDAD]»</w:t>
      </w:r>
      <w:r>
        <w:rPr>
          <w:rFonts w:ascii="Arial" w:hAnsi="Arial"/>
          <w:b w:val="0"/>
          <w:i w:val="0"/>
          <w:sz w:val="28"/>
        </w:rPr>
        <w:t>; ningún otro elemento de la operación fue cuestionado por la autoridad.</w:t>
      </w:r>
    </w:p>
    <w:p>
      <w:pPr>
        <w:spacing w:line="360" w:lineRule="auto"/>
        <w:jc w:val="both"/>
      </w:pPr>
      <w:r>
        <w:rPr>
          <w:rFonts w:ascii="Arial" w:hAnsi="Arial"/>
          <w:b w:val="0"/>
          <w:i w:val="0"/>
          <w:sz w:val="28"/>
        </w:rPr>
        <w:t>La demostración descansa en una premisa normativa clara: la estricta indispensabilidad que exigen los artículos 27, fracción I, de la Ley del Impuesto sobre la Renta y 5, fracción I, de la Ley del Impuesto al Valor Agregado se determina por la naturaleza de la operación y por su vínculo con el objeto social del contribuyente, tendiente a reportarle un ingreso o beneficio, y no por la denominación que el proveedor asentó en el comprobante ni por el giro que la autoridad tenga registrado como preponderante.</w:t>
      </w:r>
    </w:p>
    <w:p>
      <w:pPr>
        <w:spacing w:line="360" w:lineRule="auto"/>
        <w:jc w:val="both"/>
      </w:pPr>
      <w:r>
        <w:rPr>
          <w:rFonts w:ascii="Arial" w:hAnsi="Arial"/>
          <w:b w:val="0"/>
          <w:i w:val="0"/>
          <w:sz w:val="28"/>
        </w:rPr>
        <w:t>La autoridad no analizó esa naturaleza, no cuestionó la existencia de la operación, la identidad del proveedor, los comprobantes ni el pago, y tampoco explicó por qué la documentación exhibida en el trámite resultaba insuficiente. Se limitó a leer una etiqueta y a confrontarla con un giro.</w:t>
      </w:r>
    </w:p>
    <w:p>
      <w:pPr>
        <w:spacing w:line="360" w:lineRule="auto"/>
        <w:jc w:val="both"/>
      </w:pPr>
      <w:r>
        <w:rPr>
          <w:rFonts w:ascii="Arial" w:hAnsi="Arial"/>
          <w:b w:val="0"/>
          <w:i w:val="0"/>
          <w:sz w:val="28"/>
        </w:rPr>
        <w:t>Si esa premisa se respeta, la conclusión es inevitable: los hechos se apreciaron de forma equivocada y la resolución se dictó en contravención de las disposiciones aplicadas, hipótesis de la fracción IV del artículo 51 de la Ley Federal de Procedimiento Contencioso Administrativo, lo que conduce a la nulidad lisa y llana prevista en el artículo 52, fracción II, del mismo ordenamiento.</w:t>
      </w:r>
    </w:p>
    <w:p>
      <w:pPr>
        <w:spacing w:line="360" w:lineRule="auto"/>
        <w:jc w:val="both"/>
      </w:pPr>
      <w:r>
        <w:rPr>
          <w:rFonts w:ascii="Arial" w:hAnsi="Arial"/>
          <w:b w:val="0"/>
          <w:i w:val="0"/>
          <w:sz w:val="28"/>
        </w:rPr>
        <w:t>Como no subsiste cuestión técnica ni discrecional pendiente, procede además el reconocimiento del derecho subjetivo a la devolución y la condena a restituir la cantidad negada, actualizada y con intereses, conforme a los artículos 50 y 52, fracción V, inciso a), de la ley citada, en relación con los artículos 17-A, 22 y 22-A del Código Fiscal de la Federación.</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cuya nulidad se demanda es la resolución contenida en el oficio </w:t>
      </w:r>
      <w:r>
        <w:rPr>
          <w:rFonts w:ascii="Arial" w:hAnsi="Arial"/>
          <w:b/>
          <w:i w:val="0"/>
          <w:sz w:val="28"/>
        </w:rPr>
        <w:t>[NÚMERO DE OFICIO DE LA RESOLUCIÓN IMPUGNADA]</w:t>
      </w:r>
      <w:r>
        <w:rPr>
          <w:rFonts w:ascii="Arial" w:hAnsi="Arial"/>
          <w:b w:val="0"/>
          <w:i w:val="0"/>
          <w:sz w:val="28"/>
        </w:rPr>
        <w:t xml:space="preserve">, notificada el </w:t>
      </w:r>
      <w:r>
        <w:rPr>
          <w:rFonts w:ascii="Arial" w:hAnsi="Arial"/>
          <w:b/>
          <w:i w:val="0"/>
          <w:sz w:val="28"/>
        </w:rPr>
        <w:t>[FECHA DE NOTIFICACIÓN DE LA RESOLUCIÓN IMPUGNADA]</w:t>
      </w:r>
      <w:r>
        <w:rPr>
          <w:rFonts w:ascii="Arial" w:hAnsi="Arial"/>
          <w:b w:val="0"/>
          <w:i w:val="0"/>
          <w:sz w:val="28"/>
        </w:rPr>
        <w:t xml:space="preserve">, que recayó a la solicitud de devolución presentada el </w:t>
      </w:r>
      <w:r>
        <w:rPr>
          <w:rFonts w:ascii="Arial" w:hAnsi="Arial"/>
          <w:b/>
          <w:i w:val="0"/>
          <w:sz w:val="28"/>
        </w:rPr>
        <w:t>[FECHA DE LA SOLICITUD DE DEVOLUCIÓN]</w:t>
      </w:r>
      <w:r>
        <w:rPr>
          <w:rFonts w:ascii="Arial" w:hAnsi="Arial"/>
          <w:b w:val="0"/>
          <w:i w:val="0"/>
          <w:sz w:val="28"/>
        </w:rPr>
        <w:t xml:space="preserve"> por la cantidad de </w:t>
      </w:r>
      <w:r>
        <w:rPr>
          <w:rFonts w:ascii="Arial" w:hAnsi="Arial"/>
          <w:b/>
          <w:i w:val="0"/>
          <w:sz w:val="28"/>
        </w:rPr>
        <w:t>[MONTO SOLICITADO EN DEVOLUCIÓN]</w:t>
      </w:r>
      <w:r>
        <w:rPr>
          <w:rFonts w:ascii="Arial" w:hAnsi="Arial"/>
          <w:b w:val="0"/>
          <w:i w:val="0"/>
          <w:sz w:val="28"/>
        </w:rPr>
        <w:t>.</w:t>
      </w:r>
    </w:p>
    <w:p>
      <w:pPr>
        <w:spacing w:line="360" w:lineRule="auto"/>
        <w:jc w:val="both"/>
      </w:pPr>
      <w:r>
        <w:rPr>
          <w:rFonts w:ascii="Arial" w:hAnsi="Arial"/>
          <w:b w:val="0"/>
          <w:i w:val="0"/>
          <w:sz w:val="28"/>
        </w:rPr>
        <w:t xml:space="preserve">Durante el trámite, la autoridad formuló un requerimiento de información que la parte actora cumplió mediante la exhibición de </w:t>
      </w:r>
      <w:r>
        <w:rPr>
          <w:rFonts w:ascii="Arial" w:hAnsi="Arial"/>
          <w:b/>
          <w:i w:val="0"/>
          <w:sz w:val="28"/>
        </w:rPr>
        <w:t>[DOCUMENTACIÓN EXHIBIDA EN EL TRÁMITE]</w:t>
      </w:r>
      <w:r>
        <w:rPr>
          <w:rFonts w:ascii="Arial" w:hAnsi="Arial"/>
          <w:b w:val="0"/>
          <w:i w:val="0"/>
          <w:sz w:val="28"/>
        </w:rPr>
        <w:t xml:space="preserve">; no obstante, la resolución disminuyó el impuesto acreditable amparado en los comprobantes controvertidos y negó la devolución de </w:t>
      </w:r>
      <w:r>
        <w:rPr>
          <w:rFonts w:ascii="Arial" w:hAnsi="Arial"/>
          <w:b/>
          <w:i w:val="0"/>
          <w:sz w:val="28"/>
        </w:rPr>
        <w:t>[MONTO NEGADO]</w:t>
      </w:r>
      <w:r>
        <w:rPr>
          <w:rFonts w:ascii="Arial" w:hAnsi="Arial"/>
          <w:b w:val="0"/>
          <w:i w:val="0"/>
          <w:sz w:val="28"/>
        </w:rPr>
        <w:t>.</w:t>
      </w:r>
    </w:p>
    <w:p>
      <w:pPr>
        <w:spacing w:line="360" w:lineRule="auto"/>
        <w:jc w:val="both"/>
      </w:pPr>
      <w:r>
        <w:rPr>
          <w:rFonts w:ascii="Arial" w:hAnsi="Arial"/>
          <w:b w:val="0"/>
          <w:i w:val="0"/>
          <w:sz w:val="28"/>
        </w:rPr>
        <w:t>Las normas cuya inobservancia se plantea son, en primer término, el artículo 16, primer párrafo, de la Constitución Política de los Estados Unidos Mexicanos y el artículo 38, fracción IV, del Código Fiscal de la Federación, que exigen que todo acto de autoridad exprese los preceptos aplicables y las razones particulares que lo sustentan, con adecuación entre unos y otras.</w:t>
      </w:r>
    </w:p>
    <w:p>
      <w:pPr>
        <w:spacing w:line="360" w:lineRule="auto"/>
        <w:jc w:val="both"/>
      </w:pPr>
      <w:r>
        <w:rPr>
          <w:rFonts w:ascii="Arial" w:hAnsi="Arial"/>
          <w:b w:val="0"/>
          <w:i w:val="0"/>
          <w:sz w:val="28"/>
        </w:rPr>
        <w:t>Se plantea también la inobservancia del artículo 22 del propio código, que regula el procedimiento de devolución y las facultades de requerimiento de la autoridad; de los artículos 27, fracción I, de la Ley del Impuesto sobre la Renta y 5, fracción I, de la Ley del Impuesto al Valor Agregado, que fijan el requisito de estricta indispensabilidad; y del artículo 22 de la Ley Federal de Procedimiento Contencioso Administrativo, que impide a la autoridad variar en la contestación los fundamentos de su resolución.</w:t>
      </w:r>
    </w:p>
    <w:p>
      <w:pPr>
        <w:spacing w:line="360" w:lineRule="auto"/>
        <w:jc w:val="both"/>
      </w:pPr>
      <w:r>
        <w:rPr>
          <w:rFonts w:ascii="Arial" w:hAnsi="Arial"/>
          <w:b w:val="0"/>
          <w:i w:val="0"/>
          <w:sz w:val="28"/>
        </w:rPr>
        <w:t>El perjuicio es directo: la autoridad retiene una cantidad que forma parte del patrimonio de la parte actora, pues corresponde a un impuesto que le fue trasladado y que pagó a su proveedor. Tratándose de contribuyentes cuyas actividades se gravan a la tasa del 0%, la recuperación periódica de los saldos a favor es un elemento inherente a su flujo financiero, de modo que la negativa afecta la operación ordinaria de la negociación. De prosperar este concepto, el beneficio es el mayor posible en el juicio: la nulidad lisa y llana con reconocimiento del derecho subjetivo y condena, sin reenvío a la autoridad.</w:t>
      </w:r>
    </w:p>
    <w:p>
      <w:pPr>
        <w:spacing w:line="360" w:lineRule="auto"/>
        <w:jc w:val="both"/>
      </w:pPr>
      <w:r>
        <w:rPr>
          <w:rFonts w:ascii="Arial" w:hAnsi="Arial"/>
          <w:b w:val="0"/>
          <w:i w:val="0"/>
          <w:sz w:val="28"/>
        </w:rPr>
        <w:t>Conviene precisar que este concepto se dirige contra la resolución que recayó directamente a la solicitud de devolución, sin que mediara recurso de revocación. Por ello, las pruebas que se ofrecen son las mismas que la autoridad tuvo a la vista en el trámite, más las que corroboran la naturaleza del servicio contratado, y su valoración no implica introducir cuestiones ajenas al procedimiento de origen, sino verificar la aptitud de la motivación expresada.</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 xml:space="preserve">La exigencia de fundamentación y motivación del artículo 16 constitucional tiene como propósito que la persona gobernada conozca el </w:t>
      </w:r>
      <w:r>
        <w:rPr>
          <w:rFonts w:ascii="Arial" w:hAnsi="Arial"/>
          <w:b w:val="0"/>
          <w:i/>
          <w:sz w:val="28"/>
        </w:rPr>
        <w:t>«para qué»</w:t>
      </w:r>
      <w:r>
        <w:rPr>
          <w:rFonts w:ascii="Arial" w:hAnsi="Arial"/>
          <w:b w:val="0"/>
          <w:i w:val="0"/>
          <w:sz w:val="28"/>
        </w:rPr>
        <w:t xml:space="preserve"> de la conducta de la autoridad, esto es, todas las circunstancias que determinaron el acto; la doctrina advierte que los debates sobre la motivación insuficiente suelen volverse estériles cuando se hacen depender sólo de que existan y se expresen los elementos básicos del acto, el </w:t>
      </w:r>
      <w:r>
        <w:rPr>
          <w:rFonts w:ascii="Arial" w:hAnsi="Arial"/>
          <w:b w:val="0"/>
          <w:i/>
          <w:sz w:val="28"/>
        </w:rPr>
        <w:t>«qué»</w:t>
      </w:r>
      <w:r>
        <w:rPr>
          <w:rFonts w:ascii="Arial" w:hAnsi="Arial"/>
          <w:b w:val="0"/>
          <w:i w:val="0"/>
          <w:sz w:val="28"/>
        </w:rPr>
        <w:t xml:space="preserve">, y no de ese </w:t>
      </w:r>
      <w:r>
        <w:rPr>
          <w:rFonts w:ascii="Arial" w:hAnsi="Arial"/>
          <w:b w:val="0"/>
          <w:i/>
          <w:sz w:val="28"/>
        </w:rPr>
        <w:t>«para qué»</w:t>
      </w:r>
      <w:r>
        <w:rPr>
          <w:rFonts w:ascii="Arial" w:hAnsi="Arial"/>
          <w:b w:val="0"/>
          <w:i w:val="0"/>
          <w:sz w:val="28"/>
        </w:rPr>
        <w:t>.</w:t>
      </w:r>
      <w:r>
        <w:rPr>
          <w:rFonts w:ascii="Arial" w:hAnsi="Arial"/>
          <w:vertAlign w:val="superscript"/>
        </w:rPr>
        <w:t>1</w:t>
      </w:r>
      <w:r>
        <w:rPr>
          <w:rFonts w:ascii="Arial" w:hAnsi="Arial"/>
          <w:b w:val="0"/>
          <w:i w:val="0"/>
          <w:sz w:val="28"/>
        </w:rPr>
        <w:t xml:space="preserve"> No basta con que la autoridad enuncie un precepto y una conclusión; entre ambos debe mediar un razonamiento verificable.</w:t>
      </w:r>
    </w:p>
    <w:p>
      <w:pPr>
        <w:spacing w:line="360" w:lineRule="auto"/>
        <w:jc w:val="both"/>
      </w:pPr>
      <w:r>
        <w:rPr>
          <w:rFonts w:ascii="Arial" w:hAnsi="Arial"/>
          <w:b w:val="0"/>
          <w:i w:val="0"/>
          <w:sz w:val="28"/>
        </w:rPr>
        <w:t xml:space="preserve">En la misma línea, la doctrina explica que motivar consiste en expresar, en la constancia documental del acto de molestia, las normas jurídicas, razones, motivos y demás justificaciones que lo ocasionan, es decir, en manifestar a la persona afectada la </w:t>
      </w:r>
      <w:r>
        <w:rPr>
          <w:rFonts w:ascii="Arial" w:hAnsi="Arial"/>
          <w:b w:val="0"/>
          <w:i/>
          <w:sz w:val="28"/>
        </w:rPr>
        <w:t>«causa legal»</w:t>
      </w:r>
      <w:r>
        <w:rPr>
          <w:rFonts w:ascii="Arial" w:hAnsi="Arial"/>
          <w:b w:val="0"/>
          <w:i w:val="0"/>
          <w:sz w:val="28"/>
        </w:rPr>
        <w:t xml:space="preserve"> de la decisión.</w:t>
      </w:r>
      <w:r>
        <w:rPr>
          <w:rFonts w:ascii="Arial" w:hAnsi="Arial"/>
          <w:vertAlign w:val="superscript"/>
        </w:rPr>
        <w:t>2</w:t>
      </w:r>
      <w:r>
        <w:rPr>
          <w:rFonts w:ascii="Arial" w:hAnsi="Arial"/>
          <w:b w:val="0"/>
          <w:i w:val="0"/>
          <w:sz w:val="28"/>
        </w:rPr>
        <w:t xml:space="preserve"> Esa causa legal no puede consistir en una etiqueta: debe describir el hecho concreto, confrontarlo con la hipótesis normativa y explicar por qué encaja o no en ella.</w:t>
      </w:r>
    </w:p>
    <w:p>
      <w:pPr>
        <w:spacing w:line="360" w:lineRule="auto"/>
        <w:jc w:val="both"/>
      </w:pPr>
      <w:r>
        <w:rPr>
          <w:rFonts w:ascii="Arial" w:hAnsi="Arial"/>
          <w:b w:val="0"/>
          <w:i w:val="0"/>
          <w:sz w:val="28"/>
        </w:rPr>
        <w:t>El artículo 38, fracción IV, del Código Fiscal de la Federación concreta esa exigencia para los actos fiscales. Como lo ha reconocido la Sala en casos análogos, la motivación adecuada exige establecer comparativamente lo que ordena el precepto, la situación concreta en que se encuentra la persona contribuyente y la conclusión que se obtiene de armonizar ambos extremos, de modo que exista congruencia entre los motivos invocados y las disposiciones aplicadas. Cuando alguno de esos tres elementos falta o se sustituye por una afirmación dogmática, la motivación es insuficiente e indebida.</w:t>
      </w:r>
    </w:p>
    <w:p>
      <w:pPr>
        <w:spacing w:line="360" w:lineRule="auto"/>
        <w:jc w:val="both"/>
      </w:pPr>
      <w:r>
        <w:rPr>
          <w:rFonts w:ascii="Arial" w:hAnsi="Arial"/>
          <w:b w:val="0"/>
          <w:i w:val="0"/>
          <w:sz w:val="28"/>
        </w:rPr>
        <w:t>A ello se suma el régimen del artículo 22 del Código Fiscal de la Federación. El procedimiento de devolución tiene por objeto verificar la procedencia de lo solicitado a partir de la documentación e información requerida a la persona contribuyente; a ésta le corresponde acreditar su derecho, pero la autoridad no puede exigir requisitos ni estándares probatorios que la ley no prevé.</w:t>
      </w:r>
    </w:p>
    <w:p>
      <w:pPr>
        <w:spacing w:line="360" w:lineRule="auto"/>
        <w:jc w:val="both"/>
      </w:pPr>
      <w:r>
        <w:rPr>
          <w:rFonts w:ascii="Arial" w:hAnsi="Arial"/>
          <w:b w:val="0"/>
          <w:i w:val="0"/>
          <w:sz w:val="28"/>
        </w:rPr>
        <w:t>Si, una vez cumplido el requerimiento, la autoridad estima que los elementos son insuficientes, el propio precepto le permite formular un requerimiento adicional; y si decide resolver, debe expresar en la resolución las razones por las que la documentación exhibida resulta ineficaz. El silencio sobre ese punto no equivale a un análisis, y una negativa que calla sobre las pruebas recibidas no puede presumirse producto de su valoración.</w:t>
      </w:r>
    </w:p>
    <w:p>
      <w:pPr>
        <w:spacing w:line="360" w:lineRule="auto"/>
        <w:jc w:val="both"/>
      </w:pPr>
      <w:r>
        <w:rPr>
          <w:rFonts w:ascii="Arial" w:hAnsi="Arial"/>
          <w:b w:val="0"/>
          <w:i w:val="0"/>
          <w:sz w:val="28"/>
        </w:rPr>
        <w:t xml:space="preserve">La premisa sustantiva es igualmente clara. El artículo 27, fracción I, de la Ley del Impuesto sobre la Renta exige que las deducciones sean </w:t>
      </w:r>
      <w:r>
        <w:rPr>
          <w:rFonts w:ascii="Arial" w:hAnsi="Arial"/>
          <w:b w:val="0"/>
          <w:i/>
          <w:sz w:val="28"/>
        </w:rPr>
        <w:t>«estrictamente indispensables para los fines de la actividad del contribuyente»</w:t>
      </w:r>
      <w:r>
        <w:rPr>
          <w:rFonts w:ascii="Arial" w:hAnsi="Arial"/>
          <w:b w:val="0"/>
          <w:i w:val="0"/>
          <w:sz w:val="28"/>
        </w:rPr>
        <w:t>, y el artículo 5, fracción I, de la Ley del Impuesto al Valor Agregado dispone que, para efectos del acreditamiento, se consideran estrictamente indispensables las erogaciones que sean deducibles para el impuesto sobre la renta.</w:t>
      </w:r>
    </w:p>
    <w:p>
      <w:pPr>
        <w:spacing w:line="360" w:lineRule="auto"/>
        <w:jc w:val="both"/>
      </w:pPr>
      <w:r>
        <w:rPr>
          <w:rFonts w:ascii="Arial" w:hAnsi="Arial"/>
          <w:b w:val="0"/>
          <w:i w:val="0"/>
          <w:sz w:val="28"/>
        </w:rPr>
        <w:t>Conforme al entendimiento reiterado por la Suprema Corte de Justicia de la Nación y recogido por la Sala en casos análogos, ese requisito se cumple cuando la erogación se vincula con el objeto social de la empresa y tiende a reportarle un ingreso o beneficio. El criterio de la vinculación es material: mira al acto que originó el gasto y a su función dentro de la actividad económica, no a la palabra con que se registró.</w:t>
      </w:r>
    </w:p>
    <w:p>
      <w:pPr>
        <w:spacing w:line="360" w:lineRule="auto"/>
        <w:jc w:val="both"/>
      </w:pPr>
      <w:r>
        <w:rPr>
          <w:rFonts w:ascii="Arial" w:hAnsi="Arial"/>
          <w:b w:val="0"/>
          <w:i w:val="0"/>
          <w:sz w:val="28"/>
        </w:rPr>
        <w:t xml:space="preserve">De esa definición derivan dos consecuencias. La primera es que la ley no exige que el gasto corresponda a la actividad preponderante ni que el contribuyente tenga un solo giro: la norma habla de </w:t>
      </w:r>
      <w:r>
        <w:rPr>
          <w:rFonts w:ascii="Arial" w:hAnsi="Arial"/>
          <w:b w:val="0"/>
          <w:i/>
          <w:sz w:val="28"/>
        </w:rPr>
        <w:t>«la actividad del contribuyente»</w:t>
      </w:r>
      <w:r>
        <w:rPr>
          <w:rFonts w:ascii="Arial" w:hAnsi="Arial"/>
          <w:b w:val="0"/>
          <w:i w:val="0"/>
          <w:sz w:val="28"/>
        </w:rPr>
        <w:t>, expresión que abarca todas las operaciones lícitas inscritas en su objeto social, incluidas las que sirven de soporte a la actividad principal.</w:t>
      </w:r>
    </w:p>
    <w:p>
      <w:pPr>
        <w:spacing w:line="360" w:lineRule="auto"/>
        <w:jc w:val="both"/>
      </w:pPr>
      <w:r>
        <w:rPr>
          <w:rFonts w:ascii="Arial" w:hAnsi="Arial"/>
          <w:b w:val="0"/>
          <w:i w:val="0"/>
          <w:sz w:val="28"/>
        </w:rPr>
        <w:t xml:space="preserve">La segunda es que la calificación de una erogación no es una lectura, sino una valoración: la doctrina procesal distingue, dentro de la calificación jurídica de los hechos, la subsunción de un hecho en un concepto jurídico definido, de carácter deductivo, de la reconducción de los hechos concretos a un </w:t>
      </w:r>
      <w:r>
        <w:rPr>
          <w:rFonts w:ascii="Arial" w:hAnsi="Arial"/>
          <w:b w:val="0"/>
          <w:i/>
          <w:sz w:val="28"/>
        </w:rPr>
        <w:t>«tipo»</w:t>
      </w:r>
      <w:r>
        <w:rPr>
          <w:rFonts w:ascii="Arial" w:hAnsi="Arial"/>
          <w:b w:val="0"/>
          <w:i w:val="0"/>
          <w:sz w:val="28"/>
        </w:rPr>
        <w:t xml:space="preserve"> legal, operación no deductiva, pues el tipo carece de las características lógicas de una premisa mayor.</w:t>
      </w:r>
      <w:r>
        <w:rPr>
          <w:rFonts w:ascii="Arial" w:hAnsi="Arial"/>
          <w:vertAlign w:val="superscript"/>
        </w:rPr>
        <w:t>3</w:t>
      </w:r>
      <w:r>
        <w:rPr>
          <w:rFonts w:ascii="Arial" w:hAnsi="Arial"/>
          <w:b w:val="0"/>
          <w:i w:val="0"/>
          <w:sz w:val="28"/>
        </w:rPr>
        <w:t xml:space="preserve"> La estricta indispensabilidad es un tipo de esa clase: exige apreciar el acto que dio origen al gasto y no la denominación con que se registró, y sólo puede afirmarse o negarse tras examinar la operación real.</w:t>
      </w:r>
    </w:p>
    <w:p>
      <w:pPr>
        <w:spacing w:line="360" w:lineRule="auto"/>
        <w:jc w:val="both"/>
      </w:pPr>
      <w:r>
        <w:rPr>
          <w:rFonts w:ascii="Arial" w:hAnsi="Arial"/>
          <w:b w:val="0"/>
          <w:i w:val="0"/>
          <w:sz w:val="28"/>
        </w:rPr>
        <w:t>Lo anterior cobra especial fuerza tratándose de contribuyentes cuyas enajenaciones se gravan a la tasa del 0%, como ocurre con los alimentos básicos en términos del artículo 2-A, fracción I, de la Ley del Impuesto al Valor Agregado. Esa circunstancia genera ordinariamente saldos a favor, cuya recuperación forma parte del flujo financiero de la empresa; por ello, los servicios profesionales encaminados a gestionar esa recuperación guardan una vinculación directa con la operación y sostenibilidad económica de la negociación, pues reintegran al patrimonio recursos de los que depende su actividad ordinaria.</w:t>
      </w:r>
    </w:p>
    <w:p>
      <w:pPr>
        <w:spacing w:line="360" w:lineRule="auto"/>
        <w:jc w:val="both"/>
      </w:pPr>
      <w:r>
        <w:rPr>
          <w:rFonts w:ascii="Arial" w:hAnsi="Arial"/>
          <w:b w:val="0"/>
          <w:i w:val="0"/>
          <w:sz w:val="28"/>
        </w:rPr>
        <w:t>Finalmente, el artículo 22 de la Ley Federal de Procedimiento Contencioso Administrativo dispone que en la contestación no podrán cambiarse los fundamentos de derecho de la resolución impugnada. La litis se fija con los motivos que el acto efectivamente contiene, de manera que la autoridad no puede completar ni mejorar en juicio una motivación que omitió al resolver: lo que se aduce por primera vez en la contestación no forma parte del acto y no puede servir para sostenerlo.</w:t>
      </w:r>
    </w:p>
    <w:p>
      <w:pPr>
        <w:spacing w:line="360" w:lineRule="auto"/>
        <w:jc w:val="both"/>
      </w:pPr>
      <w:r>
        <w:rPr>
          <w:rFonts w:ascii="Arial" w:hAnsi="Arial"/>
          <w:b/>
          <w:sz w:val="28"/>
        </w:rPr>
        <w:t>IV. Aplicación al caso concreto y refutación de la motivación de la autoridad.</w:t>
      </w:r>
    </w:p>
    <w:p>
      <w:pPr>
        <w:spacing w:line="360" w:lineRule="auto"/>
        <w:jc w:val="both"/>
      </w:pPr>
      <w:r>
        <w:rPr>
          <w:rFonts w:ascii="Arial" w:hAnsi="Arial"/>
          <w:b w:val="0"/>
          <w:i w:val="0"/>
          <w:sz w:val="28"/>
        </w:rPr>
        <w:t xml:space="preserve">Los hechos del expediente encuadran con exactitud en la premisa expuesta. La parte actora solicitó la devolución del saldo a favor de </w:t>
      </w:r>
      <w:r>
        <w:rPr>
          <w:rFonts w:ascii="Arial" w:hAnsi="Arial"/>
          <w:b/>
          <w:i w:val="0"/>
          <w:sz w:val="28"/>
        </w:rPr>
        <w:t>[IMPUESTO Y PERIODO DEL SALDO A FAVOR]</w:t>
      </w:r>
      <w:r>
        <w:rPr>
          <w:rFonts w:ascii="Arial" w:hAnsi="Arial"/>
          <w:b w:val="0"/>
          <w:i w:val="0"/>
          <w:sz w:val="28"/>
        </w:rPr>
        <w:t xml:space="preserve">; la autoridad la requirió y la solicitante cumplió con </w:t>
      </w:r>
      <w:r>
        <w:rPr>
          <w:rFonts w:ascii="Arial" w:hAnsi="Arial"/>
          <w:b/>
          <w:i w:val="0"/>
          <w:sz w:val="28"/>
        </w:rPr>
        <w:t>[DOCUMENTACIÓN EXHIBIDA EN EL TRÁMITE]</w:t>
      </w:r>
      <w:r>
        <w:rPr>
          <w:rFonts w:ascii="Arial" w:hAnsi="Arial"/>
          <w:b w:val="0"/>
          <w:i w:val="0"/>
          <w:sz w:val="28"/>
        </w:rPr>
        <w:t xml:space="preserve">, documentación en la que la operación controvertida quedó identificada como </w:t>
      </w:r>
      <w:r>
        <w:rPr>
          <w:rFonts w:ascii="Arial" w:hAnsi="Arial"/>
          <w:b/>
          <w:i w:val="0"/>
          <w:sz w:val="28"/>
        </w:rPr>
        <w:t>[NATURALEZA REAL DEL SERVICIO O BIEN ADQUIRIDO]</w:t>
      </w:r>
      <w:r>
        <w:rPr>
          <w:rFonts w:ascii="Arial" w:hAnsi="Arial"/>
          <w:b w:val="0"/>
          <w:i w:val="0"/>
          <w:sz w:val="28"/>
        </w:rPr>
        <w:t>. La resolución impugnada reconoce expresamente que ese cumplimiento existió y que la autoridad revisó los papeles de trabajo de la solicitante, de los que obtuvo el registro del impuesto acreditable y los comprobantes en cuestión.</w:t>
      </w:r>
    </w:p>
    <w:p>
      <w:pPr>
        <w:spacing w:line="360" w:lineRule="auto"/>
        <w:jc w:val="both"/>
      </w:pPr>
      <w:r>
        <w:rPr>
          <w:rFonts w:ascii="Arial" w:hAnsi="Arial"/>
          <w:b w:val="0"/>
          <w:i w:val="0"/>
          <w:sz w:val="28"/>
        </w:rPr>
        <w:t xml:space="preserve">Sin embargo, el único motivo para disminuir el impuesto acreditable fue el siguiente: que, de acuerdo con la actividad preponderante de la contribuyente, </w:t>
      </w:r>
      <w:r>
        <w:rPr>
          <w:rFonts w:ascii="Arial" w:hAnsi="Arial"/>
          <w:b w:val="0"/>
          <w:i/>
          <w:sz w:val="28"/>
        </w:rPr>
        <w:t>«[ACTIVIDAD PREPONDERANTE SEGÚN LA AUTORIDAD]»</w:t>
      </w:r>
      <w:r>
        <w:rPr>
          <w:rFonts w:ascii="Arial" w:hAnsi="Arial"/>
          <w:b w:val="0"/>
          <w:i w:val="0"/>
          <w:sz w:val="28"/>
        </w:rPr>
        <w:t xml:space="preserve">, el gasto no se considera estrictamente indispensable, ya que corresponde al concepto </w:t>
      </w:r>
      <w:r>
        <w:rPr>
          <w:rFonts w:ascii="Arial" w:hAnsi="Arial"/>
          <w:b w:val="0"/>
          <w:i/>
          <w:sz w:val="28"/>
        </w:rPr>
        <w:t>«[DESCRIPCIÓN ASENTADA EN LOS CFDI]»</w:t>
      </w:r>
      <w:r>
        <w:rPr>
          <w:rFonts w:ascii="Arial" w:hAnsi="Arial"/>
          <w:b w:val="0"/>
          <w:i w:val="0"/>
          <w:sz w:val="28"/>
        </w:rPr>
        <w:t>, por lo que la operación no cuenta con las condiciones y especificaciones que acrediten que cumple con el objeto de su actividad. Ese razonamiento es lógicamente inválido por tres vías distintas.</w:t>
      </w:r>
    </w:p>
    <w:p>
      <w:pPr>
        <w:spacing w:line="360" w:lineRule="auto"/>
        <w:jc w:val="both"/>
      </w:pPr>
      <w:r>
        <w:rPr>
          <w:rFonts w:ascii="Arial" w:hAnsi="Arial"/>
          <w:b w:val="0"/>
          <w:i w:val="0"/>
          <w:sz w:val="28"/>
        </w:rPr>
        <w:t>En primer lugar, incurre en un non sequitur, nombre genérico de los argumentos cuya conclusión no se sigue de las premisas.</w:t>
      </w:r>
      <w:r>
        <w:rPr>
          <w:rFonts w:ascii="Arial" w:hAnsi="Arial"/>
          <w:vertAlign w:val="superscript"/>
        </w:rPr>
        <w:t>4</w:t>
      </w:r>
      <w:r>
        <w:rPr>
          <w:rFonts w:ascii="Arial" w:hAnsi="Arial"/>
          <w:b w:val="0"/>
          <w:i w:val="0"/>
          <w:sz w:val="28"/>
        </w:rPr>
        <w:t xml:space="preserve"> De que el comprobante diga </w:t>
      </w:r>
      <w:r>
        <w:rPr>
          <w:rFonts w:ascii="Arial" w:hAnsi="Arial"/>
          <w:b w:val="0"/>
          <w:i/>
          <w:sz w:val="28"/>
        </w:rPr>
        <w:t>«[DESCRIPCIÓN ASENTADA EN LOS CFDI]»</w:t>
      </w:r>
      <w:r>
        <w:rPr>
          <w:rFonts w:ascii="Arial" w:hAnsi="Arial"/>
          <w:b w:val="0"/>
          <w:i w:val="0"/>
          <w:sz w:val="28"/>
        </w:rPr>
        <w:t xml:space="preserve"> y de que el giro registrado sea </w:t>
      </w:r>
      <w:r>
        <w:rPr>
          <w:rFonts w:ascii="Arial" w:hAnsi="Arial"/>
          <w:b w:val="0"/>
          <w:i/>
          <w:sz w:val="28"/>
        </w:rPr>
        <w:t>«[ACTIVIDAD PREPONDERANTE SEGÚN LA AUTORIDAD]»</w:t>
      </w:r>
      <w:r>
        <w:rPr>
          <w:rFonts w:ascii="Arial" w:hAnsi="Arial"/>
          <w:b w:val="0"/>
          <w:i w:val="0"/>
          <w:sz w:val="28"/>
        </w:rPr>
        <w:t xml:space="preserve"> no se sigue que la erogación carezca de vínculo con los fines de la empresa; entre esas premisas y esa conclusión falta el eslabón que la autoridad debía construir.</w:t>
      </w:r>
    </w:p>
    <w:p>
      <w:pPr>
        <w:spacing w:line="360" w:lineRule="auto"/>
        <w:jc w:val="both"/>
      </w:pPr>
      <w:r>
        <w:rPr>
          <w:rFonts w:ascii="Arial" w:hAnsi="Arial"/>
          <w:b w:val="0"/>
          <w:i w:val="0"/>
          <w:sz w:val="28"/>
        </w:rPr>
        <w:t xml:space="preserve">La descripción es la etiqueta que el proveedor eligió al facturar; la naturaleza de la operación es </w:t>
      </w:r>
      <w:r>
        <w:rPr>
          <w:rFonts w:ascii="Arial" w:hAnsi="Arial"/>
          <w:b/>
          <w:i w:val="0"/>
          <w:sz w:val="28"/>
        </w:rPr>
        <w:t>[NATURALEZA REAL DEL SERVICIO O BIEN ADQUIRIDO]</w:t>
      </w:r>
      <w:r>
        <w:rPr>
          <w:rFonts w:ascii="Arial" w:hAnsi="Arial"/>
          <w:b w:val="0"/>
          <w:i w:val="0"/>
          <w:sz w:val="28"/>
        </w:rPr>
        <w:t xml:space="preserve">, y su vinculación con el objeto social consiste en </w:t>
      </w:r>
      <w:r>
        <w:rPr>
          <w:rFonts w:ascii="Arial" w:hAnsi="Arial"/>
          <w:b/>
          <w:i w:val="0"/>
          <w:sz w:val="28"/>
        </w:rPr>
        <w:t>[VÍNCULO DEL GASTO CON LA OPERACIÓN DE LA EMPRESA]</w:t>
      </w:r>
      <w:r>
        <w:rPr>
          <w:rFonts w:ascii="Arial" w:hAnsi="Arial"/>
          <w:b w:val="0"/>
          <w:i w:val="0"/>
          <w:sz w:val="28"/>
        </w:rPr>
        <w:t>. La autoridad nunca examinó ese vínculo, pese a que la documentación del trámite lo revelaba.</w:t>
      </w:r>
    </w:p>
    <w:p>
      <w:pPr>
        <w:spacing w:line="360" w:lineRule="auto"/>
        <w:jc w:val="both"/>
      </w:pPr>
      <w:r>
        <w:rPr>
          <w:rFonts w:ascii="Arial" w:hAnsi="Arial"/>
          <w:b w:val="0"/>
          <w:i w:val="0"/>
          <w:sz w:val="28"/>
        </w:rPr>
        <w:t>En segundo lugar, la resolución comete la falacia del secundum quid, consistente en aplicar rígidamente una regla como si no admitiera excepciones, olvidando las circunstancias del caso que la hacen inaplicable.</w:t>
      </w:r>
      <w:r>
        <w:rPr>
          <w:rFonts w:ascii="Arial" w:hAnsi="Arial"/>
          <w:vertAlign w:val="superscript"/>
        </w:rPr>
        <w:t>5</w:t>
      </w:r>
      <w:r>
        <w:rPr>
          <w:rFonts w:ascii="Arial" w:hAnsi="Arial"/>
          <w:b w:val="0"/>
          <w:i w:val="0"/>
          <w:sz w:val="28"/>
        </w:rPr>
        <w:t xml:space="preserve"> La regla implícita de la autoridad es que todo gasto ajeno al giro preponderante es prescindible. Esa regla no está en la ley, que sólo exige vinculación con la actividad del contribuyente, y además ignora las circunstancias concretas: el objeto social de la parte actora, la finalidad del servicio y el hecho de que su operación depende de esa erogación.</w:t>
      </w:r>
    </w:p>
    <w:p>
      <w:pPr>
        <w:spacing w:line="360" w:lineRule="auto"/>
        <w:jc w:val="both"/>
      </w:pPr>
      <w:r>
        <w:rPr>
          <w:rFonts w:ascii="Arial" w:hAnsi="Arial"/>
          <w:b w:val="0"/>
          <w:i w:val="0"/>
          <w:sz w:val="28"/>
        </w:rPr>
        <w:t xml:space="preserve">En tercer lugar, la afirmación de que la operación </w:t>
      </w:r>
      <w:r>
        <w:rPr>
          <w:rFonts w:ascii="Arial" w:hAnsi="Arial"/>
          <w:b w:val="0"/>
          <w:i/>
          <w:sz w:val="28"/>
        </w:rPr>
        <w:t>«no cuenta con las condiciones y especificaciones»</w:t>
      </w:r>
      <w:r>
        <w:rPr>
          <w:rFonts w:ascii="Arial" w:hAnsi="Arial"/>
          <w:b w:val="0"/>
          <w:i w:val="0"/>
          <w:sz w:val="28"/>
        </w:rPr>
        <w:t xml:space="preserve"> que acrediten su relación con el objeto de la actividad es una petición de principio, pues pretende demostrar por sí mismo lo que precisamente debía probarse.</w:t>
      </w:r>
      <w:r>
        <w:rPr>
          <w:rFonts w:ascii="Arial" w:hAnsi="Arial"/>
          <w:vertAlign w:val="superscript"/>
        </w:rPr>
        <w:t>6</w:t>
      </w:r>
      <w:r>
        <w:rPr>
          <w:rFonts w:ascii="Arial" w:hAnsi="Arial"/>
          <w:b w:val="0"/>
          <w:i w:val="0"/>
          <w:sz w:val="28"/>
        </w:rPr>
        <w:t xml:space="preserve"> La autoridad no dice qué condiciones faltaron ni qué especificaciones esperaba; se limita a repetir la conclusión con otras palabras. Una motivación que consiste en reformular el resultado no cumple con el elemento comparativo que exige el artículo 38, fracción IV, del Código Fiscal de la Federación.</w:t>
      </w:r>
    </w:p>
    <w:p>
      <w:pPr>
        <w:spacing w:line="360" w:lineRule="auto"/>
        <w:jc w:val="both"/>
      </w:pPr>
      <w:r>
        <w:rPr>
          <w:rFonts w:ascii="Arial" w:hAnsi="Arial"/>
          <w:b w:val="0"/>
          <w:i w:val="0"/>
          <w:sz w:val="28"/>
        </w:rPr>
        <w:t>A ello se agrega que la autoridad no controvirtió la existencia de la operación, la identidad del proveedor, la emisión de los comprobantes, el pago efectuado, la mecánica de determinación del saldo a favor ni su cuantía. Al contrario, tomó el importe del impuesto acreditable de los propios papeles de trabajo de la solicitante, sin objetar la autenticidad de los comprobantes. Desvirtuado el único motivo de rechazo, no subsiste otro obstáculo jurídico para la devolución, y los elementos no objetados conservan valor probatorio pleno en términos del artículo 46 de la Ley Federal de Procedimiento Contencioso Administrativo.</w:t>
      </w:r>
    </w:p>
    <w:p>
      <w:pPr>
        <w:spacing w:line="360" w:lineRule="auto"/>
        <w:jc w:val="both"/>
      </w:pPr>
      <w:r>
        <w:rPr>
          <w:rFonts w:ascii="Arial" w:hAnsi="Arial"/>
          <w:b w:val="0"/>
          <w:i w:val="0"/>
          <w:sz w:val="28"/>
        </w:rPr>
        <w:t>Tampoco puede sostenerse que hubo insuficiencia probatoria. La resolución no afirma que la documentación exhibida fuera ineficaz, no identifica documentos faltantes ni concluye que la solicitud debía rechazarse por incumplimiento de un requerimiento; y la autoridad, pudiendo formular un requerimiento adicional conforme al artículo 22 del Código Fiscal de la Federación, no lo hizo.</w:t>
      </w:r>
    </w:p>
    <w:p>
      <w:pPr>
        <w:spacing w:line="360" w:lineRule="auto"/>
        <w:jc w:val="both"/>
      </w:pPr>
      <w:r>
        <w:rPr>
          <w:rFonts w:ascii="Arial" w:hAnsi="Arial"/>
          <w:b w:val="0"/>
          <w:i w:val="0"/>
          <w:sz w:val="28"/>
        </w:rPr>
        <w:t>Más aún, la documentación entregada en el trámite ya revelaba la naturaleza del servicio, de modo que la autoridad contaba con los elementos para conocerla al resolver. Cualquier argumento de esa índole que se introduzca en la contestación constituye una mejora ex post de la motivación, prohibida por el artículo 22 de la Ley Federal de Procedimiento Contencioso Administrativo, y debe desestimarse.</w:t>
      </w:r>
    </w:p>
    <w:p>
      <w:pPr>
        <w:spacing w:line="360" w:lineRule="auto"/>
        <w:jc w:val="both"/>
      </w:pPr>
      <w:r>
        <w:rPr>
          <w:rFonts w:ascii="Arial" w:hAnsi="Arial"/>
          <w:b w:val="0"/>
          <w:i w:val="0"/>
          <w:sz w:val="28"/>
        </w:rPr>
        <w:t>Por último, no es obstáculo la regla conforme a la cual el principio de litis abierta no autoriza a exhibir en juicio pruebas que debieron presentarse en el procedimiento de origen. Ese principio opera cuando se impugna la resolución recaída a un recurso administrativo, supuesto que aquí no se actualiza; además, la controversia no versa sobre situaciones novedosas sustentadas en elementos ajenos al trámite, sino sobre la legalidad de la motivación expresada, y las documentales que se ofrecen únicamente corroboran el contenido y alcance de esa controversia.</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la autoridad negó la devolución con un solo motivo, la descripción de los comprobantes y el giro preponderante de la contribuyente; ese motivo no es apto para concluir que la erogación carece de vinculación con los fines de la actividad, porque la estricta indispensabilidad se determina por la naturaleza de la operación y su relación con el objeto social; y la autoridad no analizó esa naturaleza ni la documentación exhibida, ni cuestionó la existencia, el pago o la cuantía de la operación.</w:t>
      </w:r>
    </w:p>
    <w:p>
      <w:pPr>
        <w:spacing w:line="360" w:lineRule="auto"/>
        <w:jc w:val="both"/>
      </w:pPr>
      <w:r>
        <w:rPr>
          <w:rFonts w:ascii="Arial" w:hAnsi="Arial"/>
          <w:b w:val="0"/>
          <w:i w:val="0"/>
          <w:sz w:val="28"/>
        </w:rPr>
        <w:t>Los hechos se apreciaron equivocadamente y la resolución contraviene los artículos 27, fracción I, de la Ley del Impuesto sobre la Renta y 5, fracción I, de la Ley del Impuesto al Valor Agregado, además de los artículos 16 constitucional y 22 y 38, fracción IV, del Código Fiscal de la Federación.</w:t>
      </w:r>
    </w:p>
    <w:p>
      <w:pPr>
        <w:spacing w:line="360" w:lineRule="auto"/>
        <w:jc w:val="both"/>
      </w:pPr>
      <w:r>
        <w:rPr>
          <w:rFonts w:ascii="Arial" w:hAnsi="Arial"/>
          <w:b w:val="0"/>
          <w:i w:val="0"/>
          <w:sz w:val="28"/>
        </w:rPr>
        <w:t>Por lo expuesto, procede declarar fundado este concepto de impugnación y decretar la nulidad lisa y llana de la resolución impugnada, con fundamento en los artículos 51, fracción IV, y 52, fracción II, de la Ley Federal de Procedimiento Contencioso Administrativo. No procede una nulidad para efectos, porque en el expediente no quedan elementos pendientes de valoración ni aspectos técnicos o discrecionales que justifiquen un nuevo pronunciamiento: el vicio es de fondo e incide directamente en la procedencia del derecho sustantivo.</w:t>
      </w:r>
    </w:p>
    <w:p>
      <w:pPr>
        <w:spacing w:line="360" w:lineRule="auto"/>
        <w:jc w:val="both"/>
      </w:pPr>
      <w:r>
        <w:rPr>
          <w:rFonts w:ascii="Arial" w:hAnsi="Arial"/>
          <w:b w:val="0"/>
          <w:i w:val="0"/>
          <w:sz w:val="28"/>
        </w:rPr>
        <w:t xml:space="preserve">En consecuencia, con fundamento en los artículos 50 y 52, fracción V, inciso a), de la Ley Federal de Procedimiento Contencioso Administrativo, se solicita que esa Sala Regional, en ejercicio de plena jurisdicción, reconozca el derecho subjetivo de la parte actora a obtener la devolución del saldo a favor de </w:t>
      </w:r>
      <w:r>
        <w:rPr>
          <w:rFonts w:ascii="Arial" w:hAnsi="Arial"/>
          <w:b/>
          <w:i w:val="0"/>
          <w:sz w:val="28"/>
        </w:rPr>
        <w:t>[IMPUESTO Y PERIODO DEL SALDO A FAVOR]</w:t>
      </w:r>
      <w:r>
        <w:rPr>
          <w:rFonts w:ascii="Arial" w:hAnsi="Arial"/>
          <w:b w:val="0"/>
          <w:i w:val="0"/>
          <w:sz w:val="28"/>
        </w:rPr>
        <w:t xml:space="preserve"> y condene a la </w:t>
      </w:r>
      <w:r>
        <w:rPr>
          <w:rFonts w:ascii="Arial" w:hAnsi="Arial"/>
          <w:b/>
          <w:i w:val="0"/>
          <w:sz w:val="28"/>
        </w:rPr>
        <w:t>[AUTORIDAD DEMANDADA]</w:t>
      </w:r>
      <w:r>
        <w:rPr>
          <w:rFonts w:ascii="Arial" w:hAnsi="Arial"/>
          <w:b w:val="0"/>
          <w:i w:val="0"/>
          <w:sz w:val="28"/>
        </w:rPr>
        <w:t xml:space="preserve"> a devolver la cantidad de </w:t>
      </w:r>
      <w:r>
        <w:rPr>
          <w:rFonts w:ascii="Arial" w:hAnsi="Arial"/>
          <w:b/>
          <w:i w:val="0"/>
          <w:sz w:val="28"/>
        </w:rPr>
        <w:t>[MONTO NEGADO]</w:t>
      </w:r>
      <w:r>
        <w:rPr>
          <w:rFonts w:ascii="Arial" w:hAnsi="Arial"/>
          <w:b w:val="0"/>
          <w:i w:val="0"/>
          <w:sz w:val="28"/>
        </w:rPr>
        <w:t>, debidamente actualizada y con el pago de los intereses correspondientes, en términos de los artículos 17-A, 22 y 22-A del Código Fiscal de la Federación.</w:t>
      </w:r>
    </w:p>
    <w:p>
      <w:pPr>
        <w:spacing w:line="360" w:lineRule="auto"/>
        <w:jc w:val="both"/>
      </w:pPr>
      <w:r>
        <w:rPr>
          <w:rFonts w:ascii="Arial" w:hAnsi="Arial"/>
          <w:b w:val="0"/>
          <w:i w:val="0"/>
          <w:sz w:val="28"/>
        </w:rPr>
        <w:t>La condena deberá cumplirse dentro del plazo previsto en los artículos 52, segundo párrafo, y 57 de la ley citada, limitándose la autoridad a materializar la devolución, sin reiterar los motivos declarados ilegales ni desconocer el derecho reconocido. Se pide, además, el estudio preferente de este concepto, pues su acogimiento produce el mayor beneficio jurídico posible y hace innecesario el examen de los restantes.</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 p. 177.</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 p. 68.</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TARUFFO, Michele, </w:t>
      </w:r>
      <w:r>
        <w:rPr>
          <w:rFonts w:ascii="Arial" w:hAnsi="Arial"/>
          <w:i/>
          <w:sz w:val="20"/>
        </w:rPr>
        <w:t>La motivación de la sentencia civil</w:t>
      </w:r>
      <w:r>
        <w:rPr>
          <w:rFonts w:ascii="Arial" w:hAnsi="Arial"/>
          <w:i w:val="0"/>
          <w:sz w:val="20"/>
        </w:rPr>
        <w:t>, trad. de Lorenzo Córdova Vianello, Tribunal Electoral del Poder Judicial de la Federación, México, 2006, p. 184.</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64.</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GARCÍA DAMBORENEA, op. cit.</w:t>
      </w:r>
      <w:r>
        <w:rPr>
          <w:rFonts w:ascii="Arial" w:hAnsi="Arial"/>
          <w:i w:val="0"/>
          <w:sz w:val="20"/>
        </w:rPr>
        <w:t>, p. 84.</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73.</w:t>
      </w:r>
    </w:p>
    <w:p/>
    <w:p>
      <w:r>
        <w:rPr>
          <w:rFonts w:ascii="Arial" w:hAnsi="Arial"/>
          <w:b/>
          <w:sz w:val="22"/>
        </w:rPr>
        <w:t>BIBLIOGRAFÍA</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w:t>
      </w:r>
    </w:p>
    <w:p>
      <w:pPr>
        <w:spacing w:after="60"/>
        <w:ind w:left="360" w:hanging="360"/>
        <w:jc w:val="both"/>
      </w:pPr>
      <w:r>
        <w:rPr>
          <w:rFonts w:ascii="Arial" w:hAnsi="Arial"/>
          <w:i w:val="0"/>
          <w:sz w:val="20"/>
        </w:rPr>
        <w:t xml:space="preserve">TARUFFO, Michele, </w:t>
      </w:r>
      <w:r>
        <w:rPr>
          <w:rFonts w:ascii="Arial" w:hAnsi="Arial"/>
          <w:i/>
          <w:sz w:val="20"/>
        </w:rPr>
        <w:t>La motivación de la sentencia civil</w:t>
      </w:r>
      <w:r>
        <w:rPr>
          <w:rFonts w:ascii="Arial" w:hAnsi="Arial"/>
          <w:i w:val="0"/>
          <w:sz w:val="20"/>
        </w:rPr>
        <w:t>, trad. de Lorenzo Córdova Vianello, Tribunal Electoral del Poder Judicial de la Federación, México, 2006.</w:t>
      </w:r>
    </w:p>
    <w:p>
      <w:pPr>
        <w:spacing w:after="60"/>
        <w:ind w:left="360" w:hanging="360"/>
        <w:jc w:val="both"/>
      </w:pP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