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ACTA DE VERIFICACIÓN DE DOMICILIO FISCAL SIN CERCIORAMIENTO DEL LUGAR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consigue la orden de verificación y el acta completa, y compara el domicilio que señala la orden con cada lugar donde la persona verificadora dice haber actuado; subraya las diferencias de colonia, privada o calle y cualquier mención a Google Maps u otra herramienta de geolocalización.</w:t>
      </w:r>
    </w:p>
    <w:p>
      <w:pPr>
        <w:spacing w:line="360" w:lineRule="auto"/>
        <w:jc w:val="both"/>
      </w:pPr>
      <w:r>
        <w:rPr>
          <w:rFonts w:ascii="Arial" w:hAnsi="Arial"/>
          <w:b w:val="0"/>
          <w:i w:val="0"/>
          <w:sz w:val="24"/>
        </w:rPr>
        <w:t>Después llena los campos editables con los datos exactos del expediente, conserva los párrafos de refutación que respondan a lo que sostenga la autoridad y elimina los que no apliquen.</w:t>
      </w:r>
    </w:p>
    <w:p>
      <w:pPr>
        <w:spacing w:line="360" w:lineRule="auto"/>
        <w:jc w:val="both"/>
      </w:pPr>
      <w:r>
        <w:rPr>
          <w:rFonts w:ascii="Arial" w:hAnsi="Arial"/>
          <w:b w:val="0"/>
          <w:i w:val="0"/>
          <w:sz w:val="24"/>
        </w:rPr>
        <w:t>Revisa la vía: una multa de monto menor puede tramitarse en la vía sumaria del artículo 58-2 de la Ley Federal de Procedimiento Contencioso Administrativo. En ambas vías la demanda se presenta dentro de los treinta días siguientes a aquel en que surta efectos la notificación de la resolución impugnada (artículo 13, fracción I, para la vía ordinaria y artículo 58-2, párrafo tercero, para la sumaria).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impuso la multa.</w:t>
      </w:r>
    </w:p>
    <w:p>
      <w:pPr>
        <w:spacing w:line="360" w:lineRule="auto"/>
        <w:jc w:val="both"/>
      </w:pPr>
      <w:r>
        <w:rPr>
          <w:rFonts w:ascii="Arial" w:hAnsi="Arial"/>
          <w:b/>
          <w:i w:val="0"/>
          <w:sz w:val="24"/>
        </w:rPr>
        <w:t>[FECHA DE LA RESOLUCIÓN IMPUGNADA]</w:t>
      </w:r>
      <w:r>
        <w:rPr>
          <w:rFonts w:ascii="Arial" w:hAnsi="Arial"/>
          <w:b w:val="0"/>
          <w:i w:val="0"/>
          <w:sz w:val="24"/>
        </w:rPr>
        <w:t>: la fecha del oficio.</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w:t>
      </w:r>
    </w:p>
    <w:p>
      <w:pPr>
        <w:spacing w:line="360" w:lineRule="auto"/>
        <w:jc w:val="both"/>
      </w:pPr>
      <w:r>
        <w:rPr>
          <w:rFonts w:ascii="Arial" w:hAnsi="Arial"/>
          <w:b/>
          <w:i w:val="0"/>
          <w:sz w:val="24"/>
        </w:rPr>
        <w:t>[NOMBRE DE LA PARTE ACTORA]</w:t>
      </w:r>
      <w:r>
        <w:rPr>
          <w:rFonts w:ascii="Arial" w:hAnsi="Arial"/>
          <w:b w:val="0"/>
          <w:i w:val="0"/>
          <w:sz w:val="24"/>
        </w:rPr>
        <w:t>: la persona física o moral multada.</w:t>
      </w:r>
    </w:p>
    <w:p>
      <w:pPr>
        <w:spacing w:line="360" w:lineRule="auto"/>
        <w:jc w:val="both"/>
      </w:pPr>
      <w:r>
        <w:rPr>
          <w:rFonts w:ascii="Arial" w:hAnsi="Arial"/>
          <w:b/>
          <w:i w:val="0"/>
          <w:sz w:val="24"/>
        </w:rPr>
        <w:t>[MONTO DE LA MULTA]</w:t>
      </w:r>
      <w:r>
        <w:rPr>
          <w:rFonts w:ascii="Arial" w:hAnsi="Arial"/>
          <w:b w:val="0"/>
          <w:i w:val="0"/>
          <w:sz w:val="24"/>
        </w:rPr>
        <w:t>: la cantidad impuesta, con número y letra.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te notificaron el oficio.</w:t>
      </w:r>
    </w:p>
    <w:p>
      <w:pPr>
        <w:spacing w:line="360" w:lineRule="auto"/>
        <w:jc w:val="both"/>
      </w:pPr>
      <w:r>
        <w:rPr>
          <w:rFonts w:ascii="Arial" w:hAnsi="Arial"/>
          <w:b/>
          <w:i w:val="0"/>
          <w:sz w:val="24"/>
        </w:rPr>
        <w:t>[FRACCIÓN E INCISO DEL ARTÍCULO 10 INVOCADOS]</w:t>
      </w:r>
      <w:r>
        <w:rPr>
          <w:rFonts w:ascii="Arial" w:hAnsi="Arial"/>
          <w:b w:val="0"/>
          <w:i w:val="0"/>
          <w:sz w:val="24"/>
        </w:rPr>
        <w:t>: la hipótesis del artículo 10 del Código Fiscal de la Federación que citó la autoridad; cópiala del oficio.</w:t>
      </w:r>
    </w:p>
    <w:p>
      <w:pPr>
        <w:spacing w:line="360" w:lineRule="auto"/>
        <w:jc w:val="both"/>
      </w:pPr>
      <w:r>
        <w:rPr>
          <w:rFonts w:ascii="Arial" w:hAnsi="Arial"/>
          <w:b/>
          <w:i w:val="0"/>
          <w:sz w:val="24"/>
        </w:rPr>
        <w:t>[FECHA DEL ACTA DE VERIFICACIÓN]</w:t>
      </w:r>
      <w:r>
        <w:rPr>
          <w:rFonts w:ascii="Arial" w:hAnsi="Arial"/>
          <w:b w:val="0"/>
          <w:i w:val="0"/>
          <w:sz w:val="24"/>
        </w:rPr>
        <w:t>: la fecha en que se levantó el acta.</w:t>
      </w:r>
    </w:p>
    <w:p>
      <w:pPr>
        <w:spacing w:line="360" w:lineRule="auto"/>
        <w:jc w:val="both"/>
      </w:pPr>
      <w:r>
        <w:rPr>
          <w:rFonts w:ascii="Arial" w:hAnsi="Arial"/>
          <w:b/>
          <w:i w:val="0"/>
          <w:sz w:val="24"/>
        </w:rPr>
        <w:t>[NÚMERO DE LA ORDEN DE VERIFICACIÓN]</w:t>
      </w:r>
      <w:r>
        <w:rPr>
          <w:rFonts w:ascii="Arial" w:hAnsi="Arial"/>
          <w:b w:val="0"/>
          <w:i w:val="0"/>
          <w:sz w:val="24"/>
        </w:rPr>
        <w:t>: el número de la orden que dio origen a la diligencia.</w:t>
      </w:r>
    </w:p>
    <w:p>
      <w:pPr>
        <w:spacing w:line="360" w:lineRule="auto"/>
        <w:jc w:val="both"/>
      </w:pPr>
      <w:r>
        <w:rPr>
          <w:rFonts w:ascii="Arial" w:hAnsi="Arial"/>
          <w:b/>
          <w:i w:val="0"/>
          <w:sz w:val="24"/>
        </w:rPr>
        <w:t>[FOJA O ANEXO DONDE CONSTA EL ACTA]</w:t>
      </w:r>
      <w:r>
        <w:rPr>
          <w:rFonts w:ascii="Arial" w:hAnsi="Arial"/>
          <w:b w:val="0"/>
          <w:i w:val="0"/>
          <w:sz w:val="24"/>
        </w:rPr>
        <w:t>: la foja del expediente administrativo o el anexo de tu demanda donde está el acta.</w:t>
      </w:r>
    </w:p>
    <w:p>
      <w:pPr>
        <w:spacing w:line="360" w:lineRule="auto"/>
        <w:jc w:val="both"/>
      </w:pPr>
      <w:r>
        <w:rPr>
          <w:rFonts w:ascii="Arial" w:hAnsi="Arial"/>
          <w:b/>
          <w:i w:val="0"/>
          <w:sz w:val="24"/>
        </w:rPr>
        <w:t>[DOMICILIO FISCAL REGISTRADO]</w:t>
      </w:r>
      <w:r>
        <w:rPr>
          <w:rFonts w:ascii="Arial" w:hAnsi="Arial"/>
          <w:b w:val="0"/>
          <w:i w:val="0"/>
          <w:sz w:val="24"/>
        </w:rPr>
        <w:t>: el domicilio completo que señala la orden y que tienes registrado.</w:t>
      </w:r>
    </w:p>
    <w:p>
      <w:pPr>
        <w:spacing w:line="360" w:lineRule="auto"/>
        <w:jc w:val="both"/>
      </w:pPr>
      <w:r>
        <w:rPr>
          <w:rFonts w:ascii="Arial" w:hAnsi="Arial"/>
          <w:b/>
          <w:i w:val="0"/>
          <w:sz w:val="24"/>
        </w:rPr>
        <w:t>[COLONIA DEL DOMICILIO FISCAL REGISTRADO]</w:t>
      </w:r>
      <w:r>
        <w:rPr>
          <w:rFonts w:ascii="Arial" w:hAnsi="Arial"/>
          <w:b w:val="0"/>
          <w:i w:val="0"/>
          <w:sz w:val="24"/>
        </w:rPr>
        <w:t>: la colonia o fraccionamiento de ese domicilio, tal como aparece en la orden.</w:t>
      </w:r>
    </w:p>
    <w:p>
      <w:pPr>
        <w:spacing w:line="360" w:lineRule="auto"/>
        <w:jc w:val="both"/>
      </w:pPr>
      <w:r>
        <w:rPr>
          <w:rFonts w:ascii="Arial" w:hAnsi="Arial"/>
          <w:b/>
          <w:i w:val="0"/>
          <w:sz w:val="24"/>
        </w:rPr>
        <w:t>[LUGAR AL QUE CONDUJO LA HERRAMIENTA DE GEOLOCALIZACIÓN]</w:t>
      </w:r>
      <w:r>
        <w:rPr>
          <w:rFonts w:ascii="Arial" w:hAnsi="Arial"/>
          <w:b w:val="0"/>
          <w:i w:val="0"/>
          <w:sz w:val="24"/>
        </w:rPr>
        <w:t>: la colonia, privada o ubicación donde la verificadora dice haber iniciado la búsqueda.</w:t>
      </w:r>
    </w:p>
    <w:p>
      <w:pPr>
        <w:spacing w:line="360" w:lineRule="auto"/>
        <w:jc w:val="both"/>
      </w:pPr>
      <w:r>
        <w:rPr>
          <w:rFonts w:ascii="Arial" w:hAnsi="Arial"/>
          <w:b/>
          <w:i w:val="0"/>
          <w:sz w:val="24"/>
        </w:rPr>
        <w:t>[HERRAMIENTA DE GEOLOCALIZACIÓN UTILIZADA]</w:t>
      </w:r>
      <w:r>
        <w:rPr>
          <w:rFonts w:ascii="Arial" w:hAnsi="Arial"/>
          <w:b w:val="0"/>
          <w:i w:val="0"/>
          <w:sz w:val="24"/>
        </w:rPr>
        <w:t>: la aplicación que menciona el acta, por ejemplo Google Maps.</w:t>
      </w:r>
    </w:p>
    <w:p/>
    <w:p>
      <w:pPr>
        <w:spacing w:line="360" w:lineRule="auto"/>
        <w:jc w:val="both"/>
      </w:pPr>
      <w:r>
        <w:rPr>
          <w:rFonts w:ascii="Arial" w:hAnsi="Arial"/>
          <w:b/>
          <w:sz w:val="28"/>
        </w:rPr>
        <w:t>[NÚMERO ORDINAL DEL CONCEPTO] CONCEPTO DE IMPUGNACIÓN. Indebida circunstanciación del acta de verificación del domicilio fiscal. La persona verificadora buscó el domicilio en el lugar que le indicó una herramienta de geolocalización, con una denominación distinta de la registrada, sin asentar por qué ese lugar correspondía al domicilio que debía verificar; la conclusión de no localización carece de sustento y la multa que descansa en ella es ilegal, en términos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impuso a </w:t>
      </w:r>
      <w:r>
        <w:rPr>
          <w:rFonts w:ascii="Arial" w:hAnsi="Arial"/>
          <w:b/>
          <w:i w:val="0"/>
          <w:sz w:val="28"/>
        </w:rPr>
        <w:t>[NOMBRE DE LA PARTE ACTORA]</w:t>
      </w:r>
      <w:r>
        <w:rPr>
          <w:rFonts w:ascii="Arial" w:hAnsi="Arial"/>
          <w:b w:val="0"/>
          <w:i w:val="0"/>
          <w:sz w:val="28"/>
        </w:rPr>
        <w:t xml:space="preserve"> una multa por </w:t>
      </w:r>
      <w:r>
        <w:rPr>
          <w:rFonts w:ascii="Arial" w:hAnsi="Arial"/>
          <w:b/>
          <w:i w:val="0"/>
          <w:sz w:val="28"/>
        </w:rPr>
        <w:t>[MONTO DE LA MULTA]</w:t>
      </w:r>
      <w:r>
        <w:rPr>
          <w:rFonts w:ascii="Arial" w:hAnsi="Arial"/>
          <w:b w:val="0"/>
          <w:i w:val="0"/>
          <w:sz w:val="28"/>
        </w:rPr>
        <w:t xml:space="preserve"> con apoyo en el artículo 79, fracción IV, del Código Fiscal de la Federación, descansa en una diligencia de verificación que no acredita lo que la autoridad afirma haber constatado: que el domicilio fiscal registrado no existe o no pudo ser localizado.</w:t>
      </w:r>
    </w:p>
    <w:p>
      <w:pPr>
        <w:spacing w:line="360" w:lineRule="auto"/>
        <w:jc w:val="both"/>
      </w:pPr>
      <w:r>
        <w:rPr>
          <w:rFonts w:ascii="Arial" w:hAnsi="Arial"/>
          <w:b w:val="0"/>
          <w:i w:val="0"/>
          <w:sz w:val="28"/>
        </w:rPr>
        <w:t xml:space="preserve">La demostración parte de un dato que consta en la propia acta de </w:t>
      </w:r>
      <w:r>
        <w:rPr>
          <w:rFonts w:ascii="Arial" w:hAnsi="Arial"/>
          <w:b/>
          <w:i w:val="0"/>
          <w:sz w:val="28"/>
        </w:rPr>
        <w:t>[FECHA DEL ACTA DE VERIFICACIÓN]</w:t>
      </w:r>
      <w:r>
        <w:rPr>
          <w:rFonts w:ascii="Arial" w:hAnsi="Arial"/>
          <w:b w:val="0"/>
          <w:i w:val="0"/>
          <w:sz w:val="28"/>
        </w:rPr>
        <w:t xml:space="preserve">. El domicilio fiscal que debía verificarse se ubica en </w:t>
      </w:r>
      <w:r>
        <w:rPr>
          <w:rFonts w:ascii="Arial" w:hAnsi="Arial"/>
          <w:b/>
          <w:i w:val="0"/>
          <w:sz w:val="28"/>
        </w:rPr>
        <w:t>[COLONIA DEL DOMICILIO FISCAL REGISTRADO]</w:t>
      </w:r>
      <w:r>
        <w:rPr>
          <w:rFonts w:ascii="Arial" w:hAnsi="Arial"/>
          <w:b w:val="0"/>
          <w:i w:val="0"/>
          <w:sz w:val="28"/>
        </w:rPr>
        <w:t xml:space="preserve">, pero la persona verificadora inició la búsqueda en </w:t>
      </w:r>
      <w:r>
        <w:rPr>
          <w:rFonts w:ascii="Arial" w:hAnsi="Arial"/>
          <w:b/>
          <w:i w:val="0"/>
          <w:sz w:val="28"/>
        </w:rPr>
        <w:t>[LUGAR AL QUE CONDUJO LA HERRAMIENTA DE GEOLOCALIZACIÓN]</w:t>
      </w:r>
      <w:r>
        <w:rPr>
          <w:rFonts w:ascii="Arial" w:hAnsi="Arial"/>
          <w:b w:val="0"/>
          <w:i w:val="0"/>
          <w:sz w:val="28"/>
        </w:rPr>
        <w:t xml:space="preserve">, porque ahí la condujo </w:t>
      </w:r>
      <w:r>
        <w:rPr>
          <w:rFonts w:ascii="Arial" w:hAnsi="Arial"/>
          <w:b/>
          <w:i w:val="0"/>
          <w:sz w:val="28"/>
        </w:rPr>
        <w:t>[HERRAMIENTA DE GEOLOCALIZACIÓN UTILIZADA]</w:t>
      </w:r>
      <w:r>
        <w:rPr>
          <w:rFonts w:ascii="Arial" w:hAnsi="Arial"/>
          <w:b w:val="0"/>
          <w:i w:val="0"/>
          <w:sz w:val="28"/>
        </w:rPr>
        <w:t>, y en ningún pasaje del acta asentó la razón objetiva por la cual ese lugar, de denominación distinta, correspondía al domicilio registrado ante el Registro Federal de Contribuyentes.</w:t>
      </w:r>
    </w:p>
    <w:p>
      <w:pPr>
        <w:spacing w:line="360" w:lineRule="auto"/>
        <w:jc w:val="both"/>
      </w:pPr>
      <w:r>
        <w:rPr>
          <w:rFonts w:ascii="Arial" w:hAnsi="Arial"/>
          <w:b w:val="0"/>
          <w:i w:val="0"/>
          <w:sz w:val="28"/>
        </w:rPr>
        <w:t>Sin esa correspondencia, los recorridos y las preguntas que el acta describe prueban únicamente que la verificadora no encontró la calle o el número exterior en el sitio donde buscó, y de ese hallazgo negativo no se sigue la inexistencia del domicilio registrado. La resolución impugnada, al motivar la multa en esa conclusión, se apoyó en hechos apreciados en forma equivocada y se emitió en contravención de las disposiciones aplicables, de modo que procede su nulidad lisa y llana.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notificada a la parte actora el </w:t>
      </w:r>
      <w:r>
        <w:rPr>
          <w:rFonts w:ascii="Arial" w:hAnsi="Arial"/>
          <w:b/>
          <w:i w:val="0"/>
          <w:sz w:val="28"/>
        </w:rPr>
        <w:t>[FECHA DE NOTIFICACIÓN DE LA RESOLUCIÓN IMPUGNADA]</w:t>
      </w:r>
      <w:r>
        <w:rPr>
          <w:rFonts w:ascii="Arial" w:hAnsi="Arial"/>
          <w:b w:val="0"/>
          <w:i w:val="0"/>
          <w:sz w:val="28"/>
        </w:rPr>
        <w:t xml:space="preserve">, en la que la autoridad sostuvo que el domicilio manifestado por la contribuyente no cumplía con el artículo 10 del Código Fiscal de la Federación, en la hipótesis de </w:t>
      </w:r>
      <w:r>
        <w:rPr>
          <w:rFonts w:ascii="Arial" w:hAnsi="Arial"/>
          <w:b/>
          <w:i w:val="0"/>
          <w:sz w:val="28"/>
        </w:rPr>
        <w:t>[FRACCIÓN E INCISO DEL ARTÍCULO 10 INVOCADOS]</w:t>
      </w:r>
      <w:r>
        <w:rPr>
          <w:rFonts w:ascii="Arial" w:hAnsi="Arial"/>
          <w:b w:val="0"/>
          <w:i w:val="0"/>
          <w:sz w:val="28"/>
        </w:rPr>
        <w:t>, porque la verificación ordenada no pudo llevarse a cabo al no ser localizable la contribuyente en ese domicilio.</w:t>
      </w:r>
    </w:p>
    <w:p>
      <w:pPr>
        <w:spacing w:line="360" w:lineRule="auto"/>
        <w:jc w:val="both"/>
      </w:pPr>
      <w:r>
        <w:rPr>
          <w:rFonts w:ascii="Arial" w:hAnsi="Arial"/>
          <w:b w:val="0"/>
          <w:i w:val="0"/>
          <w:sz w:val="28"/>
        </w:rPr>
        <w:t xml:space="preserve">El soporte fáctico de esa determinación es el acta levantada el </w:t>
      </w:r>
      <w:r>
        <w:rPr>
          <w:rFonts w:ascii="Arial" w:hAnsi="Arial"/>
          <w:b/>
          <w:i w:val="0"/>
          <w:sz w:val="28"/>
        </w:rPr>
        <w:t>[FECHA DEL ACTA DE VERIFICACIÓN]</w:t>
      </w:r>
      <w:r>
        <w:rPr>
          <w:rFonts w:ascii="Arial" w:hAnsi="Arial"/>
          <w:b w:val="0"/>
          <w:i w:val="0"/>
          <w:sz w:val="28"/>
        </w:rPr>
        <w:t xml:space="preserve"> en cumplimiento de la orden </w:t>
      </w:r>
      <w:r>
        <w:rPr>
          <w:rFonts w:ascii="Arial" w:hAnsi="Arial"/>
          <w:b/>
          <w:i w:val="0"/>
          <w:sz w:val="28"/>
        </w:rPr>
        <w:t>[NÚMERO DE LA ORDEN DE VERIFICACIÓN]</w:t>
      </w:r>
      <w:r>
        <w:rPr>
          <w:rFonts w:ascii="Arial" w:hAnsi="Arial"/>
          <w:b w:val="0"/>
          <w:i w:val="0"/>
          <w:sz w:val="28"/>
        </w:rPr>
        <w:t xml:space="preserve">, que obra en </w:t>
      </w:r>
      <w:r>
        <w:rPr>
          <w:rFonts w:ascii="Arial" w:hAnsi="Arial"/>
          <w:b/>
          <w:i w:val="0"/>
          <w:sz w:val="28"/>
        </w:rPr>
        <w:t>[FOJA O ANEXO DONDE CONSTA EL ACTA]</w:t>
      </w:r>
      <w:r>
        <w:rPr>
          <w:rFonts w:ascii="Arial" w:hAnsi="Arial"/>
          <w:b w:val="0"/>
          <w:i w:val="0"/>
          <w:sz w:val="28"/>
        </w:rPr>
        <w:t>. La resolución no invoca otra constancia que acredite la infracción atribuida, de manera que, si el acta no demuestra que la búsqueda se practicó en el domicilio registrado, la multa se queda sin el hecho que la motiva.</w:t>
      </w:r>
    </w:p>
    <w:p>
      <w:pPr>
        <w:spacing w:line="360" w:lineRule="auto"/>
        <w:jc w:val="both"/>
      </w:pPr>
      <w:r>
        <w:rPr>
          <w:rFonts w:ascii="Arial" w:hAnsi="Arial"/>
          <w:b w:val="0"/>
          <w:i w:val="0"/>
          <w:sz w:val="28"/>
        </w:rPr>
        <w:t xml:space="preserve">Las normas cuya inobservancia se plantea son el artículo 16, primer párrafo, de la Constitución Política de los Estados Unidos Mexicanos, que exige que todo acto de molestia conste en mandamiento escrito de autoridad competente </w:t>
      </w:r>
      <w:r>
        <w:rPr>
          <w:rFonts w:ascii="Arial" w:hAnsi="Arial"/>
          <w:b w:val="0"/>
          <w:i/>
          <w:sz w:val="28"/>
        </w:rPr>
        <w:t>“que funde y motive la causa legal del procedimiento”</w:t>
      </w:r>
      <w:r>
        <w:rPr>
          <w:rFonts w:ascii="Arial" w:hAnsi="Arial"/>
          <w:b w:val="0"/>
          <w:i w:val="0"/>
          <w:sz w:val="28"/>
        </w:rPr>
        <w:t>, y el artículo 38, fracción IV, del Código Fiscal de la Federación, que traslada esa exigencia a los actos administrativos que deban notificarse.</w:t>
      </w:r>
    </w:p>
    <w:p>
      <w:pPr>
        <w:spacing w:line="360" w:lineRule="auto"/>
        <w:jc w:val="both"/>
      </w:pPr>
      <w:r>
        <w:rPr>
          <w:rFonts w:ascii="Arial" w:hAnsi="Arial"/>
          <w:b w:val="0"/>
          <w:i w:val="0"/>
          <w:sz w:val="28"/>
        </w:rPr>
        <w:t>El perjuicio es directo, pues la parte actora soporta una sanción económica y queda señalada como no localizable en su domicilio fiscal, todo ello a partir de una búsqueda que pudo practicarse en un lugar distinto del que registró. De prosperar este concepto, el beneficio es el mayor posible, porque la infracción queda sin sustento fáctico y la autoridad no puede reiterar la sanción sobre la misma acta.</w:t>
      </w:r>
    </w:p>
    <w:p>
      <w:pPr>
        <w:spacing w:line="360" w:lineRule="auto"/>
        <w:jc w:val="both"/>
      </w:pPr>
      <w:r>
        <w:rPr>
          <w:rFonts w:ascii="Arial" w:hAnsi="Arial"/>
          <w:b w:val="0"/>
          <w:i w:val="0"/>
          <w:sz w:val="28"/>
        </w:rPr>
        <w:t xml:space="preserve">Por esa razón se solicita el estudio preferente de este concepto, con apoyo en el artículo 50, segundo párrafo, de la Ley Federal de Procedimiento Contencioso Administrativo, conforme al cual, </w:t>
      </w:r>
      <w:r>
        <w:rPr>
          <w:rFonts w:ascii="Arial" w:hAnsi="Arial"/>
          <w:b w:val="0"/>
          <w:i/>
          <w:sz w:val="28"/>
        </w:rPr>
        <w:t>“Cuando se hagan valer diversas causales de ilegalidad, la sentencia de la Sala deberá examinar primero aquéllos que puedan llevar a declarar la nulidad lisa y llana”</w:t>
      </w:r>
      <w:r>
        <w:rPr>
          <w:rFonts w:ascii="Arial" w:hAnsi="Arial"/>
          <w:b w:val="0"/>
          <w:i w:val="0"/>
          <w:sz w:val="28"/>
        </w:rPr>
        <w:t>.</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La exigencia constitucional de motivar supone señalar con precisión las circunstancias especiales, razones particulares o causas inmediatas que la autoridad tuvo en cuenta para emitir el acto, y que exista adecuación entre esos motivos y la norma aplicada, de modo que en el caso concreto se configure la hipótesis normativa, como lo reconoció una Sala Regional de ese Tribunal al resolver un asunto análogo a la luz del artículo 38, fracción IV, del Código Fiscal de la Federación.</w:t>
      </w:r>
    </w:p>
    <w:p>
      <w:pPr>
        <w:spacing w:line="360" w:lineRule="auto"/>
        <w:jc w:val="both"/>
      </w:pPr>
      <w:r>
        <w:rPr>
          <w:rFonts w:ascii="Arial" w:hAnsi="Arial"/>
          <w:b w:val="0"/>
          <w:i w:val="0"/>
          <w:sz w:val="28"/>
        </w:rPr>
        <w:t>La teoría de la argumentación precisa el alcance de esa exigencia al distinguir los motivos, entendidos como los estados o impulsos que llevan a decidir, de las razones, que son los enunciados que se alegan públicamente como premisas para justificar la decisión; en sentido técnico, motivar consiste en exponer razones y la motivación es un razonamiento.</w:t>
      </w:r>
      <w:r>
        <w:rPr>
          <w:rFonts w:ascii="Arial" w:hAnsi="Arial"/>
          <w:vertAlign w:val="superscript"/>
        </w:rPr>
        <w:t>1</w:t>
      </w:r>
      <w:r>
        <w:rPr>
          <w:rFonts w:ascii="Arial" w:hAnsi="Arial"/>
          <w:b w:val="0"/>
          <w:i w:val="0"/>
          <w:sz w:val="28"/>
        </w:rPr>
        <w:t xml:space="preserve"> Un acto motivado muestra por qué su conclusión se sigue de sus premisas, mientras que un acto que sólo narra lo que la autoridad hizo deja sin justificar el paso decisivo.</w:t>
      </w:r>
    </w:p>
    <w:p>
      <w:pPr>
        <w:spacing w:line="360" w:lineRule="auto"/>
        <w:jc w:val="both"/>
      </w:pPr>
      <w:r>
        <w:rPr>
          <w:rFonts w:ascii="Arial" w:hAnsi="Arial"/>
          <w:b w:val="0"/>
          <w:i w:val="0"/>
          <w:sz w:val="28"/>
        </w:rPr>
        <w:t xml:space="preserve">La suficiencia de la motivación, por su parte, se mide por su aptitud para cumplir la función que la justifica. La doctrina aconseja centrar el análisis en el </w:t>
      </w:r>
      <w:r>
        <w:rPr>
          <w:rFonts w:ascii="Arial" w:hAnsi="Arial"/>
          <w:b w:val="0"/>
          <w:i/>
          <w:sz w:val="28"/>
        </w:rPr>
        <w:t>“para qué”</w:t>
      </w:r>
      <w:r>
        <w:rPr>
          <w:rFonts w:ascii="Arial" w:hAnsi="Arial"/>
          <w:b w:val="0"/>
          <w:i w:val="0"/>
          <w:sz w:val="28"/>
        </w:rPr>
        <w:t xml:space="preserve"> de la institución cuya motivación se examina y calificar sus elementos según satisfagan o no ese cometido.</w:t>
      </w:r>
      <w:r>
        <w:rPr>
          <w:rFonts w:ascii="Arial" w:hAnsi="Arial"/>
          <w:vertAlign w:val="superscript"/>
        </w:rPr>
        <w:t>2</w:t>
      </w:r>
      <w:r>
        <w:rPr>
          <w:rFonts w:ascii="Arial" w:hAnsi="Arial"/>
          <w:b w:val="0"/>
          <w:i w:val="0"/>
          <w:sz w:val="28"/>
        </w:rPr>
        <w:t xml:space="preserve"> Tratándose de una diligencia cuyo objeto es verificar la existencia y localización de un domicilio determinado, el cometido de la motivación consiste en permitir a la contribuyente y al juzgador comprobar que se buscó ese domicilio y no otro.</w:t>
      </w:r>
    </w:p>
    <w:p>
      <w:pPr>
        <w:spacing w:line="360" w:lineRule="auto"/>
        <w:jc w:val="both"/>
      </w:pPr>
      <w:r>
        <w:rPr>
          <w:rFonts w:ascii="Arial" w:hAnsi="Arial"/>
          <w:b w:val="0"/>
          <w:i w:val="0"/>
          <w:sz w:val="28"/>
        </w:rPr>
        <w:t>Cuando la resolución sancionadora descansa en los hechos asentados en un acta de verificación, la motivación de aquélla hereda la calidad de ésta, porque el acta aporta la premisa menor del silogismo sancionador, a saber, que el domicilio registrado no existe o no fue localizado. Si esa premisa está mal construida, la conclusión sancionadora carece de apoyo por más que la resolución cite con exactitud los preceptos que aplica.</w:t>
      </w:r>
    </w:p>
    <w:p>
      <w:pPr>
        <w:spacing w:line="360" w:lineRule="auto"/>
        <w:jc w:val="both"/>
      </w:pPr>
      <w:r>
        <w:rPr>
          <w:rFonts w:ascii="Arial" w:hAnsi="Arial"/>
          <w:b w:val="0"/>
          <w:i w:val="0"/>
          <w:sz w:val="28"/>
        </w:rPr>
        <w:t>Circunstanciar el acta exige, entonces, dos órdenes de datos. El primero comprende las actuaciones materiales, como la hora en que la persona verificadora se constituyó, los lugares que recorrió, las personas a las que preguntó y lo que observó. El segundo, del que depende la eficacia del primero, comprende las razones por las cuales el lugar donde actuó corresponde al domicilio que debía verificar. Las actuaciones del primer orden sólo prueban algo respecto del domicilio registrado cuando el segundo quedó asentado.</w:t>
      </w:r>
    </w:p>
    <w:p>
      <w:pPr>
        <w:spacing w:line="360" w:lineRule="auto"/>
        <w:jc w:val="both"/>
      </w:pPr>
      <w:r>
        <w:rPr>
          <w:rFonts w:ascii="Arial" w:hAnsi="Arial"/>
          <w:b w:val="0"/>
          <w:i w:val="0"/>
          <w:sz w:val="28"/>
        </w:rPr>
        <w:t>El empleo de herramientas tecnológicas de geolocalización no altera esa exigencia. La autoridad puede valerse de ellas para orientar la búsqueda, pero su resultado no la releva de cerciorarse de manera objetiva de que la ubicación identificada corresponde al domicilio fiscal registrado, ni de hacer constar en el acta las circunstancias que sustentan ese cercioramiento, según lo razonó la Sala Regional en el asunto antes referido. Una aplicación de mapas ofrece una sugerencia de ubicación que adquiere valor de dato verificado sólo cuando la persona actuante la contrasta con elementos del lugar y deja constancia de ello.</w:t>
      </w:r>
    </w:p>
    <w:p>
      <w:pPr>
        <w:spacing w:line="360" w:lineRule="auto"/>
        <w:jc w:val="both"/>
      </w:pPr>
      <w:r>
        <w:rPr>
          <w:rFonts w:ascii="Arial" w:hAnsi="Arial"/>
          <w:b w:val="0"/>
          <w:i w:val="0"/>
          <w:sz w:val="28"/>
        </w:rPr>
        <w:t xml:space="preserve">El propio legislador reconoce el peso de ese cercioramiento. Al enumerar los vicios que, para efectos de sus fracciones II y III, no afectan las defensas de la persona particular, el artículo 51 de la Ley Federal de Procedimiento Contencioso Administrativo incluye en su inciso b) la falta de constancia circunstanciada, en un citatorio, de la forma en que la persona notificadora se cercioró de encontrarse en el domicilio correcto, pero sólo </w:t>
      </w:r>
      <w:r>
        <w:rPr>
          <w:rFonts w:ascii="Arial" w:hAnsi="Arial"/>
          <w:b w:val="0"/>
          <w:i/>
          <w:sz w:val="28"/>
        </w:rPr>
        <w:t>“siempre que la diligencia se haya efectuado en el domicilio indicado en el documento que deba notificarse”</w:t>
      </w:r>
      <w:r>
        <w:rPr>
          <w:rFonts w:ascii="Arial" w:hAnsi="Arial"/>
          <w:b w:val="0"/>
          <w:i w:val="0"/>
          <w:sz w:val="28"/>
        </w:rPr>
        <w:t>.</w:t>
      </w:r>
    </w:p>
    <w:p>
      <w:pPr>
        <w:spacing w:line="360" w:lineRule="auto"/>
        <w:jc w:val="both"/>
      </w:pPr>
      <w:r>
        <w:rPr>
          <w:rFonts w:ascii="Arial" w:hAnsi="Arial"/>
          <w:b w:val="0"/>
          <w:i w:val="0"/>
          <w:sz w:val="28"/>
        </w:rPr>
        <w:t>La lectura a contrario de ese precepto es reveladora. La ley tolera la parquedad en la descripción del cercioramiento cuando consta que la diligencia se practicó en el domicilio correcto, porque en ese supuesto la finalidad de la formalidad quedó cumplida por otra vía; cuando esa identidad es precisamente lo que no consta, la omisión conserva toda su fuerza invalidante, pues la finalidad protectora de la norma queda frustrada.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La orden </w:t>
      </w:r>
      <w:r>
        <w:rPr>
          <w:rFonts w:ascii="Arial" w:hAnsi="Arial"/>
          <w:b/>
          <w:i w:val="0"/>
          <w:sz w:val="28"/>
        </w:rPr>
        <w:t>[NÚMERO DE LA ORDEN DE VERIFICACIÓN]</w:t>
      </w:r>
      <w:r>
        <w:rPr>
          <w:rFonts w:ascii="Arial" w:hAnsi="Arial"/>
          <w:b w:val="0"/>
          <w:i w:val="0"/>
          <w:sz w:val="28"/>
        </w:rPr>
        <w:t xml:space="preserve"> señaló como domicilio a verificar el ubicado en </w:t>
      </w:r>
      <w:r>
        <w:rPr>
          <w:rFonts w:ascii="Arial" w:hAnsi="Arial"/>
          <w:b/>
          <w:i w:val="0"/>
          <w:sz w:val="28"/>
        </w:rPr>
        <w:t>[DOMICILIO FISCAL REGISTRADO]</w:t>
      </w:r>
      <w:r>
        <w:rPr>
          <w:rFonts w:ascii="Arial" w:hAnsi="Arial"/>
          <w:b w:val="0"/>
          <w:i w:val="0"/>
          <w:sz w:val="28"/>
        </w:rPr>
        <w:t xml:space="preserve">, dentro de </w:t>
      </w:r>
      <w:r>
        <w:rPr>
          <w:rFonts w:ascii="Arial" w:hAnsi="Arial"/>
          <w:b/>
          <w:i w:val="0"/>
          <w:sz w:val="28"/>
        </w:rPr>
        <w:t>[COLONIA DEL DOMICILIO FISCAL REGISTRADO]</w:t>
      </w:r>
      <w:r>
        <w:rPr>
          <w:rFonts w:ascii="Arial" w:hAnsi="Arial"/>
          <w:b w:val="0"/>
          <w:i w:val="0"/>
          <w:sz w:val="28"/>
        </w:rPr>
        <w:t xml:space="preserve">. Según el acta de </w:t>
      </w:r>
      <w:r>
        <w:rPr>
          <w:rFonts w:ascii="Arial" w:hAnsi="Arial"/>
          <w:b/>
          <w:i w:val="0"/>
          <w:sz w:val="28"/>
        </w:rPr>
        <w:t>[FECHA DEL ACTA DE VERIFICACIÓN]</w:t>
      </w:r>
      <w:r>
        <w:rPr>
          <w:rFonts w:ascii="Arial" w:hAnsi="Arial"/>
          <w:b w:val="0"/>
          <w:i w:val="0"/>
          <w:sz w:val="28"/>
        </w:rPr>
        <w:t xml:space="preserve">, la persona verificadora consultó </w:t>
      </w:r>
      <w:r>
        <w:rPr>
          <w:rFonts w:ascii="Arial" w:hAnsi="Arial"/>
          <w:b/>
          <w:i w:val="0"/>
          <w:sz w:val="28"/>
        </w:rPr>
        <w:t>[HERRAMIENTA DE GEOLOCALIZACIÓN UTILIZADA]</w:t>
      </w:r>
      <w:r>
        <w:rPr>
          <w:rFonts w:ascii="Arial" w:hAnsi="Arial"/>
          <w:b w:val="0"/>
          <w:i w:val="0"/>
          <w:sz w:val="28"/>
        </w:rPr>
        <w:t xml:space="preserve">, se trasladó a </w:t>
      </w:r>
      <w:r>
        <w:rPr>
          <w:rFonts w:ascii="Arial" w:hAnsi="Arial"/>
          <w:b/>
          <w:i w:val="0"/>
          <w:sz w:val="28"/>
        </w:rPr>
        <w:t>[LUGAR AL QUE CONDUJO LA HERRAMIENTA DE GEOLOCALIZACIÓN]</w:t>
      </w:r>
      <w:r>
        <w:rPr>
          <w:rFonts w:ascii="Arial" w:hAnsi="Arial"/>
          <w:b w:val="0"/>
          <w:i w:val="0"/>
          <w:sz w:val="28"/>
        </w:rPr>
        <w:t xml:space="preserve"> por ser la ubicación que arrojó la aplicación y desde ahí emprendió recorridos, consultas a personas del lugar y nuevas búsquedas en la misma herramienta, sin localizar la calle ni el número exterior.</w:t>
      </w:r>
    </w:p>
    <w:p>
      <w:pPr>
        <w:spacing w:line="360" w:lineRule="auto"/>
        <w:jc w:val="both"/>
      </w:pPr>
      <w:r>
        <w:rPr>
          <w:rFonts w:ascii="Arial" w:hAnsi="Arial"/>
          <w:b w:val="0"/>
          <w:i w:val="0"/>
          <w:sz w:val="28"/>
        </w:rPr>
        <w:t xml:space="preserve">Con base en esas actuaciones, el acta concluyó que el domicilio señalado no podía considerarse domicilio fiscal y que la contribuyente no era localizable en él, conclusión que la </w:t>
      </w:r>
      <w:r>
        <w:rPr>
          <w:rFonts w:ascii="Arial" w:hAnsi="Arial"/>
          <w:b/>
          <w:i w:val="0"/>
          <w:sz w:val="28"/>
        </w:rPr>
        <w:t>[AUTORIDAD DEMANDADA]</w:t>
      </w:r>
      <w:r>
        <w:rPr>
          <w:rFonts w:ascii="Arial" w:hAnsi="Arial"/>
          <w:b w:val="0"/>
          <w:i w:val="0"/>
          <w:sz w:val="28"/>
        </w:rPr>
        <w:t xml:space="preserve"> trasladó a la resolución impugnada como motivo de la multa. Ninguna parte del acta explica por qué </w:t>
      </w:r>
      <w:r>
        <w:rPr>
          <w:rFonts w:ascii="Arial" w:hAnsi="Arial"/>
          <w:b/>
          <w:i w:val="0"/>
          <w:sz w:val="28"/>
        </w:rPr>
        <w:t>[LUGAR AL QUE CONDUJO LA HERRAMIENTA DE GEOLOCALIZACIÓN]</w:t>
      </w:r>
      <w:r>
        <w:rPr>
          <w:rFonts w:ascii="Arial" w:hAnsi="Arial"/>
          <w:b w:val="0"/>
          <w:i w:val="0"/>
          <w:sz w:val="28"/>
        </w:rPr>
        <w:t xml:space="preserve"> correspondía a </w:t>
      </w:r>
      <w:r>
        <w:rPr>
          <w:rFonts w:ascii="Arial" w:hAnsi="Arial"/>
          <w:b/>
          <w:i w:val="0"/>
          <w:sz w:val="28"/>
        </w:rPr>
        <w:t>[COLONIA DEL DOMICILIO FISCAL REGISTRADO]</w:t>
      </w:r>
      <w:r>
        <w:rPr>
          <w:rFonts w:ascii="Arial" w:hAnsi="Arial"/>
          <w:b w:val="0"/>
          <w:i w:val="0"/>
          <w:sz w:val="28"/>
        </w:rPr>
        <w:t>, pese a que la diferencia de denominación era conocida por la propia verificadora.</w:t>
      </w:r>
    </w:p>
    <w:p>
      <w:pPr>
        <w:spacing w:line="360" w:lineRule="auto"/>
        <w:jc w:val="both"/>
      </w:pPr>
      <w:r>
        <w:rPr>
          <w:rFonts w:ascii="Arial" w:hAnsi="Arial"/>
          <w:b w:val="0"/>
          <w:i w:val="0"/>
          <w:sz w:val="28"/>
        </w:rPr>
        <w:t>La discrepancia es trascendente porque recae sobre el objeto mismo de la diligencia. La persona actuante sabía que el domicilio a verificar pertenecía a una colonia y actuó en otra; el acta registra la diferencia y no la resuelve. En esas condiciones no existe certeza de que la búsqueda se practicara en el domicilio registrado, y la conclusión de inexistencia o falta de localización carece de la circunstanciación que le daría sustento.</w:t>
      </w:r>
    </w:p>
    <w:p>
      <w:pPr>
        <w:spacing w:line="360" w:lineRule="auto"/>
        <w:jc w:val="both"/>
      </w:pPr>
      <w:r>
        <w:rPr>
          <w:rFonts w:ascii="Arial" w:hAnsi="Arial"/>
          <w:b w:val="0"/>
          <w:i w:val="0"/>
          <w:sz w:val="28"/>
        </w:rPr>
        <w:t>Previsiblemente, la autoridad defenderá su resolución con tres argumentos: que el acta describe con detalle los recorridos y las búsquedas, que la verificadora actuó guiada por una herramienta confiable y que el acta goza de la presunción propia de los documentos públicos. Ninguno resiste el análisis, pero antes de responderlos conviene exponer las dos falacias en que incurre el razonamiento de origen.</w:t>
      </w:r>
    </w:p>
    <w:p>
      <w:pPr>
        <w:spacing w:line="360" w:lineRule="auto"/>
        <w:jc w:val="both"/>
      </w:pPr>
      <w:r>
        <w:rPr>
          <w:rFonts w:ascii="Arial" w:hAnsi="Arial"/>
          <w:b w:val="0"/>
          <w:i w:val="0"/>
          <w:sz w:val="28"/>
        </w:rPr>
        <w:t>En primer lugar, la conclusión de la autoridad incurre en petición de principio, falacia que consiste en demostrar por sí mismo lo que no está claro, postulando como premisa aquello que debía probarse.</w:t>
      </w:r>
      <w:r>
        <w:rPr>
          <w:rFonts w:ascii="Arial" w:hAnsi="Arial"/>
          <w:vertAlign w:val="superscript"/>
        </w:rPr>
        <w:t>3</w:t>
      </w:r>
      <w:r>
        <w:rPr>
          <w:rFonts w:ascii="Arial" w:hAnsi="Arial"/>
          <w:b w:val="0"/>
          <w:i w:val="0"/>
          <w:sz w:val="28"/>
        </w:rPr>
        <w:t xml:space="preserve"> Para concluir que el domicilio registrado no existe, la autoridad necesitaba establecer primero que buscó en ese domicilio; en lugar de demostrarlo, lo presupone al tomar como punto de partida la ubicación sugerida por la aplicación, y de esa premisa no probada deriva la inexistencia que pretende acreditar.</w:t>
      </w:r>
    </w:p>
    <w:p>
      <w:pPr>
        <w:spacing w:line="360" w:lineRule="auto"/>
        <w:jc w:val="both"/>
      </w:pPr>
      <w:r>
        <w:rPr>
          <w:rFonts w:ascii="Arial" w:hAnsi="Arial"/>
          <w:b w:val="0"/>
          <w:i w:val="0"/>
          <w:sz w:val="28"/>
        </w:rPr>
        <w:t>En segundo lugar, la inferencia reproduce la estructura del falso argumento ex silentio, que sostiene que algo no es cierto porque no existen datos que lo respalden y da por supuesto, entre otras cosas, que esos datos se buscaron adecuadamente, de modo que resulta falaz cuando esa premisa es falsa.</w:t>
      </w:r>
      <w:r>
        <w:rPr>
          <w:rFonts w:ascii="Arial" w:hAnsi="Arial"/>
          <w:vertAlign w:val="superscript"/>
        </w:rPr>
        <w:t>4</w:t>
      </w:r>
      <w:r>
        <w:rPr>
          <w:rFonts w:ascii="Arial" w:hAnsi="Arial"/>
          <w:b w:val="0"/>
          <w:i w:val="0"/>
          <w:sz w:val="28"/>
        </w:rPr>
        <w:t xml:space="preserve"> El hallazgo negativo de la verificadora sólo probaría la inexistencia del domicilio si la búsqueda se hubiera dirigido al lugar correcto; como el acta no lo acredita, la premisa implícita falla y la conclusión se derrumba con ella.</w:t>
      </w:r>
    </w:p>
    <w:p>
      <w:pPr>
        <w:spacing w:line="360" w:lineRule="auto"/>
        <w:jc w:val="both"/>
      </w:pPr>
      <w:r>
        <w:rPr>
          <w:rFonts w:ascii="Arial" w:hAnsi="Arial"/>
          <w:b w:val="0"/>
          <w:i w:val="0"/>
          <w:sz w:val="28"/>
        </w:rPr>
        <w:t>Tampoco rescata el acto la abundancia de recorridos. La doctrina que examina el uso administrativo del argumento ad ignorantiam admite que un resultado negativo autorice a rechazar lo pretendido cuando proviene de diligencias probatorias serias y técnicas, y advierte que, mientras éstas no se realicen y la carga de la prueba pese sobre la Administración, invocar la falta de prueba constituye un típico argumento ad ignorantiam.</w:t>
      </w:r>
      <w:r>
        <w:rPr>
          <w:rFonts w:ascii="Arial" w:hAnsi="Arial"/>
          <w:vertAlign w:val="superscript"/>
        </w:rPr>
        <w:t>5</w:t>
      </w:r>
    </w:p>
    <w:p>
      <w:pPr>
        <w:spacing w:line="360" w:lineRule="auto"/>
        <w:jc w:val="both"/>
      </w:pPr>
      <w:r>
        <w:rPr>
          <w:rFonts w:ascii="Arial" w:hAnsi="Arial"/>
          <w:b w:val="0"/>
          <w:i w:val="0"/>
          <w:sz w:val="28"/>
        </w:rPr>
        <w:t>Una búsqueda esmerada en un lugar cuya correspondencia con el domicilio nunca se estableció carece de la seriedad técnica que exigiría esa excepción, porque su objeto quedó mal definido desde el inicio. La cantidad de recorridos no suple la razón que faltó: lo que debía circunstanciarse era por qué los lugares recorridos correspondían al domicilio registrado, y sobre ese punto el acta guarda silencio.</w:t>
      </w:r>
    </w:p>
    <w:p>
      <w:pPr>
        <w:spacing w:line="360" w:lineRule="auto"/>
        <w:jc w:val="both"/>
      </w:pPr>
      <w:r>
        <w:rPr>
          <w:rFonts w:ascii="Arial" w:hAnsi="Arial"/>
          <w:b w:val="0"/>
          <w:i w:val="0"/>
          <w:sz w:val="28"/>
        </w:rPr>
        <w:t>Por lo que hace a la presunción, la que acompaña al acta como documento público alcanza, a lo sumo, los hechos que la persona actuante declara haber percibido, y no puede extenderse a una correspondencia geográfica que ella misma nunca afirmó ni justificó. La doctrina probatoria advierte que la sola calidad de funcionario público no vuelve automáticamente más fiable a quien la ostenta ni garantiza que sus afirmaciones sean más verdaderas.</w:t>
      </w:r>
      <w:r>
        <w:rPr>
          <w:rFonts w:ascii="Arial" w:hAnsi="Arial"/>
          <w:vertAlign w:val="superscript"/>
        </w:rPr>
        <w:t>6</w:t>
      </w:r>
      <w:r>
        <w:rPr>
          <w:rFonts w:ascii="Arial" w:hAnsi="Arial"/>
          <w:b w:val="0"/>
          <w:i w:val="0"/>
          <w:sz w:val="28"/>
        </w:rPr>
        <w:t xml:space="preserve"> Aquí ni siquiera hay afirmación que presumir, porque el acta narra el traslado a un lugar de denominación distinta y omite el enlace con el domicilio registrado.</w:t>
      </w:r>
    </w:p>
    <w:p>
      <w:pPr>
        <w:spacing w:line="360" w:lineRule="auto"/>
        <w:jc w:val="both"/>
      </w:pPr>
      <w:r>
        <w:rPr>
          <w:rFonts w:ascii="Arial" w:hAnsi="Arial"/>
          <w:b w:val="0"/>
          <w:i w:val="0"/>
          <w:sz w:val="28"/>
        </w:rPr>
        <w:t>La confiabilidad general de la herramienta tecnológica tampoco sirve de excusa. La propia aplicación arrojó una denominación distinta de la registrada, y esa señal de alerta obligaba a la verificadora a contrastar la ubicación con datos del lugar, como la nomenclatura visible de las calles, las referencias de personas del sitio sobre la colonia en que se encontraba o cualquier otro elemento verificable, y a dejar constancia de ello en el acta.</w:t>
      </w:r>
    </w:p>
    <w:p>
      <w:pPr>
        <w:spacing w:line="360" w:lineRule="auto"/>
        <w:jc w:val="both"/>
      </w:pPr>
      <w:r>
        <w:rPr>
          <w:rFonts w:ascii="Arial" w:hAnsi="Arial"/>
          <w:b w:val="0"/>
          <w:i w:val="0"/>
          <w:sz w:val="28"/>
        </w:rPr>
        <w:t>Si al contestar la demanda la autoridad intenta explicar por qué el lugar visitado correspondía al domicilio registrado, esa explicación resultará extemporánea. La circunstanciación vale por lo que se asentó al practicarse la diligencia, y el artículo 22 de la Ley Federal de Procedimiento Contencioso Administrativo impide cambiar en la contestación los fundamentos de derecho de la resolución impugnada; en congruencia con ese mandato, la motivación que el acta no contiene tampoco puede incorporarse después mediante razonamientos formulados para la defensa en juicio.</w:t>
      </w:r>
    </w:p>
    <w:p>
      <w:pPr>
        <w:spacing w:line="360" w:lineRule="auto"/>
        <w:jc w:val="both"/>
      </w:pPr>
      <w:r>
        <w:rPr>
          <w:rFonts w:ascii="Arial" w:hAnsi="Arial"/>
          <w:b w:val="0"/>
          <w:i w:val="0"/>
          <w:sz w:val="28"/>
        </w:rPr>
        <w:t>La consecuencia jurídica se sigue sin dificultad. La resolución impugnada motivó la multa en una actuación que no acredita el hecho que le atribuye y proviene, por tanto, de un acto viciado desde su origen, vicio que se transmite a la sanción que en él se apoya, sin que la resolución invoque otro elemento capaz de subsanarlo.</w:t>
      </w:r>
    </w:p>
    <w:p>
      <w:pPr>
        <w:spacing w:line="360" w:lineRule="auto"/>
        <w:jc w:val="both"/>
      </w:pPr>
      <w:r>
        <w:rPr>
          <w:rFonts w:ascii="Arial" w:hAnsi="Arial"/>
          <w:b w:val="0"/>
          <w:i w:val="0"/>
          <w:sz w:val="28"/>
        </w:rPr>
        <w:t xml:space="preserve">Se actualiza, en consecuencia, la causal del artículo 51, fracción IV, de la Ley Federal de Procedimiento Contencioso Administrativo, que declara ilegal la resolución </w:t>
      </w:r>
      <w:r>
        <w:rPr>
          <w:rFonts w:ascii="Arial" w:hAnsi="Arial"/>
          <w:b w:val="0"/>
          <w:i/>
          <w:sz w:val="28"/>
        </w:rPr>
        <w:t>“Si los hechos que la motivaron no se realizaron, fueron distintos o se apreciaron en forma equivocada, o bien si se dictó en contravención de las disposiciones aplicadas o dejó de aplicar las debidas, en cuanto al fondo del asunto”</w:t>
      </w:r>
      <w:r>
        <w:rPr>
          <w:rFonts w:ascii="Arial" w:hAnsi="Arial"/>
          <w:b w:val="0"/>
          <w:i w:val="0"/>
          <w:sz w:val="28"/>
        </w:rPr>
        <w:t>.</w:t>
      </w:r>
    </w:p>
    <w:p>
      <w:pPr>
        <w:spacing w:line="360" w:lineRule="auto"/>
        <w:jc w:val="both"/>
      </w:pPr>
      <w:r>
        <w:rPr>
          <w:rFonts w:ascii="Arial" w:hAnsi="Arial"/>
          <w:b w:val="0"/>
          <w:i w:val="0"/>
          <w:sz w:val="28"/>
        </w:rPr>
        <w:t>El vicio alcanza la premisa fáctica de la infracción, pues sin prueba de que el domicilio registrado fue buscado donde se encuentra, no hay hecho sancionable que sostenga la multa. Por eso el concepto encuadra en la fracción IV del artículo 51, que mira al fondo del asunto, y se aparta de las fracciones II y III, cuya consecuencia prevista en el artículo 52, fracción IV, del mismo ordenamiento es la nulidad para el efecto de que se reponga el procedimiento o se emita nueva resolución.</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diligencia de verificación del domicilio fiscal se practicó en un lugar que la herramienta de geolocalización identificó con una denominación distinta de la registrada; el acta describe lo que la verificadora hizo, pero no justifica por qué ese lugar correspondía al domicilio que debía verificar; y la conclusión de inexistencia o falta de localización, trasladada a la resolución impugnada como motivo de la multa, carece por ello de sustento.</w:t>
      </w:r>
    </w:p>
    <w:p>
      <w:pPr>
        <w:spacing w:line="360" w:lineRule="auto"/>
        <w:jc w:val="both"/>
      </w:pPr>
      <w:r>
        <w:rPr>
          <w:rFonts w:ascii="Arial" w:hAnsi="Arial"/>
          <w:b w:val="0"/>
          <w:i w:val="0"/>
          <w:sz w:val="28"/>
        </w:rPr>
        <w:t xml:space="preserve">Por lo expuesto, se solicita a esa Sala Regional declarar fundado el presente concepto de impugnación, estudiarlo de manera preferente en términos del artículo 50, segundo párrafo, de la Ley Federal de Procedimiento Contencioso Administrativo, y declarar la nulidad lisa y llana de la resolución contenida en el oficio </w:t>
      </w:r>
      <w:r>
        <w:rPr>
          <w:rFonts w:ascii="Arial" w:hAnsi="Arial"/>
          <w:b/>
          <w:i w:val="0"/>
          <w:sz w:val="28"/>
        </w:rPr>
        <w:t>[NÚMERO DE OFICIO DE LA RESOLUCIÓN IMPUGNADA]</w:t>
      </w:r>
      <w:r>
        <w:rPr>
          <w:rFonts w:ascii="Arial" w:hAnsi="Arial"/>
          <w:b w:val="0"/>
          <w:i w:val="0"/>
          <w:sz w:val="28"/>
        </w:rPr>
        <w:t>, con fundamento en los artículos 51, fracción IV, y 52, fracción II, del mismo ordenamiento, dado que el vicio alcanza el hecho mismo que motivó la sanción.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233.</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177.</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GARCÍA DAMBORENEA, op. cit.</w:t>
      </w:r>
      <w:r>
        <w:rPr>
          <w:rFonts w:ascii="Arial" w:hAnsi="Arial"/>
          <w:i w:val="0"/>
          <w:sz w:val="20"/>
        </w:rPr>
        <w:t>, p. 88.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139.</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 p. 87.</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DE PAULA RAMOS, Vitor, </w:t>
      </w:r>
      <w:r>
        <w:rPr>
          <w:rFonts w:ascii="Arial" w:hAnsi="Arial"/>
          <w:i/>
          <w:sz w:val="20"/>
        </w:rPr>
        <w:t>La prueba documental. Del documento a los documentos y del soporte a la información</w:t>
      </w:r>
      <w:r>
        <w:rPr>
          <w:rFonts w:ascii="Arial" w:hAnsi="Arial"/>
          <w:i w:val="0"/>
          <w:sz w:val="20"/>
        </w:rPr>
        <w:t>, trad. de Laura Criado Sánchez, Marcial Pons Ediciones Jurídicas y Sociales, Madrid, 2023.</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