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DEMANDA DE NULIDAD TFJA. CANCELACIÓN DEL SELLO DIGITAL FUERA DEL PLAZO DEL ARTÍCULO 17-H BIS</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léelo completo y adapta el concepto de impugnación a tu demanda de nulidad. Primero reconstruye el calendario del procedimiento con los oficios y acuses del buzón tributario: la notificación de la restricción temporal, la presentación de la aclaración, la notificación del requerimiento, la solicitud de prórroga y su vencimiento, el oficio de no presentación y la resolución de cancelación.</w:t>
      </w:r>
    </w:p>
    <w:p>
      <w:pPr>
        <w:spacing w:line="360" w:lineRule="auto"/>
        <w:jc w:val="both"/>
      </w:pPr>
      <w:r>
        <w:rPr>
          <w:rFonts w:ascii="Arial" w:hAnsi="Arial"/>
          <w:b w:val="0"/>
          <w:i w:val="0"/>
          <w:sz w:val="24"/>
        </w:rPr>
        <w:t>Descuenta sábados, domingos y los días inhábiles del calendario del Servicio de Administración Tributaria del ejercicio correspondiente, y confirma que la regla 2.2.15 de la Resolución Miscelánea Fiscal vigente conserve la redacción de sus párrafos séptimo y octavo. Después llena los campos editables, verifica cada fecha contra tus documentos y conserva o elimina el párrafo subsidiario según tu caso. Recuerda que la demanda de nulidad se presenta en treinta días (artículo 58-2, párrafo tercero, de la Ley Federal de Procedimiento Contencioso Administrativo, plazo que rige también en la vía sumaria).</w:t>
      </w:r>
    </w:p>
    <w:p>
      <w:pPr>
        <w:spacing w:line="360" w:lineRule="auto"/>
        <w:jc w:val="both"/>
      </w:pPr>
      <w:r>
        <w:rPr>
          <w:rFonts w:ascii="Arial" w:hAnsi="Arial"/>
          <w:b w:val="0"/>
          <w:i w:val="0"/>
          <w:sz w:val="24"/>
        </w:rPr>
        <w:t>Campos editables y qué poner en cada uno:</w:t>
      </w:r>
    </w:p>
    <w:p>
      <w:pPr>
        <w:spacing w:line="360" w:lineRule="auto"/>
        <w:jc w:val="both"/>
      </w:pPr>
      <w:r>
        <w:rPr>
          <w:rFonts w:ascii="Arial" w:hAnsi="Arial"/>
          <w:b/>
          <w:i w:val="0"/>
          <w:sz w:val="24"/>
        </w:rPr>
        <w:t>[NÚMERO ORDINAL DEL CONCEPTO]</w:t>
      </w:r>
      <w:r>
        <w:rPr>
          <w:rFonts w:ascii="Arial" w:hAnsi="Arial"/>
          <w:b w:val="0"/>
          <w:i w:val="0"/>
          <w:sz w:val="24"/>
        </w:rPr>
        <w:t>: el ordinal que le corresponda en tu demanda (PRIMERO, SEGUNDO…).</w:t>
      </w:r>
    </w:p>
    <w:p>
      <w:pPr>
        <w:spacing w:line="360" w:lineRule="auto"/>
        <w:jc w:val="both"/>
      </w:pPr>
      <w:r>
        <w:rPr>
          <w:rFonts w:ascii="Arial" w:hAnsi="Arial"/>
          <w:b/>
          <w:i w:val="0"/>
          <w:sz w:val="24"/>
        </w:rPr>
        <w:t>[NÚMERO DE OFICIO DE LA RESOLUCIÓN IMPUGNADA]</w:t>
      </w:r>
      <w:r>
        <w:rPr>
          <w:rFonts w:ascii="Arial" w:hAnsi="Arial"/>
          <w:b w:val="0"/>
          <w:i w:val="0"/>
          <w:sz w:val="24"/>
        </w:rPr>
        <w:t>: el número exacto del oficio que dejó sin efectos el certificado.</w:t>
      </w:r>
    </w:p>
    <w:p>
      <w:pPr>
        <w:spacing w:line="360" w:lineRule="auto"/>
        <w:jc w:val="both"/>
      </w:pPr>
      <w:r>
        <w:rPr>
          <w:rFonts w:ascii="Arial" w:hAnsi="Arial"/>
          <w:b/>
          <w:i w:val="0"/>
          <w:sz w:val="24"/>
        </w:rPr>
        <w:t>[AUTORIDAD DEMANDADA]</w:t>
      </w:r>
      <w:r>
        <w:rPr>
          <w:rFonts w:ascii="Arial" w:hAnsi="Arial"/>
          <w:b w:val="0"/>
          <w:i w:val="0"/>
          <w:sz w:val="24"/>
        </w:rPr>
        <w:t>: la unidad administrativa emisora, con su denominación completa.</w:t>
      </w:r>
    </w:p>
    <w:p>
      <w:pPr>
        <w:spacing w:line="360" w:lineRule="auto"/>
        <w:jc w:val="both"/>
      </w:pPr>
      <w:r>
        <w:rPr>
          <w:rFonts w:ascii="Arial" w:hAnsi="Arial"/>
          <w:b/>
          <w:i w:val="0"/>
          <w:sz w:val="24"/>
        </w:rPr>
        <w:t>[NOMBRE DE LA PARTE ACTORA]</w:t>
      </w:r>
      <w:r>
        <w:rPr>
          <w:rFonts w:ascii="Arial" w:hAnsi="Arial"/>
          <w:b w:val="0"/>
          <w:i w:val="0"/>
          <w:sz w:val="24"/>
        </w:rPr>
        <w:t>: la persona o empresa titular del certificado.</w:t>
      </w:r>
    </w:p>
    <w:p>
      <w:pPr>
        <w:spacing w:line="360" w:lineRule="auto"/>
        <w:jc w:val="both"/>
      </w:pPr>
      <w:r>
        <w:rPr>
          <w:rFonts w:ascii="Arial" w:hAnsi="Arial"/>
          <w:b/>
          <w:i w:val="0"/>
          <w:sz w:val="24"/>
        </w:rPr>
        <w:t>[FECHA DE EMISIÓN DE LA RESOLUCIÓN IMPUGNADA]</w:t>
      </w:r>
      <w:r>
        <w:rPr>
          <w:rFonts w:ascii="Arial" w:hAnsi="Arial"/>
          <w:b w:val="0"/>
          <w:i w:val="0"/>
          <w:sz w:val="24"/>
        </w:rPr>
        <w:t>: la fecha que ostenta el oficio de cancelación.</w:t>
      </w:r>
    </w:p>
    <w:p>
      <w:pPr>
        <w:spacing w:line="360" w:lineRule="auto"/>
        <w:jc w:val="both"/>
      </w:pPr>
      <w:r>
        <w:rPr>
          <w:rFonts w:ascii="Arial" w:hAnsi="Arial"/>
          <w:b/>
          <w:i w:val="0"/>
          <w:sz w:val="24"/>
        </w:rPr>
        <w:t>[FECHA DE NOTIFICACIÓN DE LA RESOLUCIÓN IMPUGNADA]</w:t>
      </w:r>
      <w:r>
        <w:rPr>
          <w:rFonts w:ascii="Arial" w:hAnsi="Arial"/>
          <w:b w:val="0"/>
          <w:i w:val="0"/>
          <w:sz w:val="24"/>
        </w:rPr>
        <w:t>: la fecha en que se te dio a conocer por buzón tributario.</w:t>
      </w:r>
    </w:p>
    <w:p>
      <w:pPr>
        <w:spacing w:line="360" w:lineRule="auto"/>
        <w:jc w:val="both"/>
      </w:pPr>
      <w:r>
        <w:rPr>
          <w:rFonts w:ascii="Arial" w:hAnsi="Arial"/>
          <w:b/>
          <w:i w:val="0"/>
          <w:sz w:val="24"/>
        </w:rPr>
        <w:t>[EJERCICIO DE LA RESOLUCIÓN MISCELÁNEA FISCAL APLICABLE]</w:t>
      </w:r>
      <w:r>
        <w:rPr>
          <w:rFonts w:ascii="Arial" w:hAnsi="Arial"/>
          <w:b w:val="0"/>
          <w:i w:val="0"/>
          <w:sz w:val="24"/>
        </w:rPr>
        <w:t>: el año de la Resolución Miscelánea vigente durante el procedimiento.</w:t>
      </w:r>
    </w:p>
    <w:p>
      <w:pPr>
        <w:spacing w:line="360" w:lineRule="auto"/>
        <w:jc w:val="both"/>
      </w:pPr>
      <w:r>
        <w:rPr>
          <w:rFonts w:ascii="Arial" w:hAnsi="Arial"/>
          <w:b/>
          <w:i w:val="0"/>
          <w:sz w:val="24"/>
        </w:rPr>
        <w:t>[FECHA DE NOTIFICACIÓN DEL OFICIO DE RESTRICCIÓN TEMPORAL]</w:t>
      </w:r>
      <w:r>
        <w:rPr>
          <w:rFonts w:ascii="Arial" w:hAnsi="Arial"/>
          <w:b w:val="0"/>
          <w:i w:val="0"/>
          <w:sz w:val="24"/>
        </w:rPr>
        <w:t>: día en que se notificó la restricción; los cuarenta días hábiles corren a partir de que surtió efectos esa notificación.</w:t>
      </w:r>
    </w:p>
    <w:p>
      <w:pPr>
        <w:spacing w:line="360" w:lineRule="auto"/>
        <w:jc w:val="both"/>
      </w:pPr>
      <w:r>
        <w:rPr>
          <w:rFonts w:ascii="Arial" w:hAnsi="Arial"/>
          <w:b/>
          <w:i w:val="0"/>
          <w:sz w:val="24"/>
        </w:rPr>
        <w:t>[FECHA DE PRESENTACIÓN DE LA SOLICITUD DE ACLARACIÓN]</w:t>
      </w:r>
      <w:r>
        <w:rPr>
          <w:rFonts w:ascii="Arial" w:hAnsi="Arial"/>
          <w:b w:val="0"/>
          <w:i w:val="0"/>
          <w:sz w:val="24"/>
        </w:rPr>
        <w:t>: fecha del caso de aclaración en el Portal del SAT.</w:t>
      </w:r>
    </w:p>
    <w:p>
      <w:pPr>
        <w:spacing w:line="360" w:lineRule="auto"/>
        <w:jc w:val="both"/>
      </w:pPr>
      <w:r>
        <w:rPr>
          <w:rFonts w:ascii="Arial" w:hAnsi="Arial"/>
          <w:b/>
          <w:i w:val="0"/>
          <w:sz w:val="24"/>
        </w:rPr>
        <w:t>[FECHA DE VENCIMIENTO DEL PLAZO DEL REQUERIMIENTO O DE SU PRÓRROGA]</w:t>
      </w:r>
      <w:r>
        <w:rPr>
          <w:rFonts w:ascii="Arial" w:hAnsi="Arial"/>
          <w:b w:val="0"/>
          <w:i w:val="0"/>
          <w:sz w:val="24"/>
        </w:rPr>
        <w:t>: último día para atender el requerimiento o, si la pediste, la prórroga.</w:t>
      </w:r>
    </w:p>
    <w:p>
      <w:pPr>
        <w:spacing w:line="360" w:lineRule="auto"/>
        <w:jc w:val="both"/>
      </w:pPr>
      <w:r>
        <w:rPr>
          <w:rFonts w:ascii="Arial" w:hAnsi="Arial"/>
          <w:b/>
          <w:i w:val="0"/>
          <w:sz w:val="24"/>
        </w:rPr>
        <w:t>[DÉCIMO DÍA HÁBIL DEL PLAZO DE LA AUTORIDAD]</w:t>
      </w:r>
      <w:r>
        <w:rPr>
          <w:rFonts w:ascii="Arial" w:hAnsi="Arial"/>
          <w:b w:val="0"/>
          <w:i w:val="0"/>
          <w:sz w:val="24"/>
        </w:rPr>
        <w:t>: último día en que la autoridad podía resolver, contando desde el día hábil siguiente al vencimiento anterior.</w:t>
      </w:r>
    </w:p>
    <w:p>
      <w:pPr>
        <w:spacing w:line="360" w:lineRule="auto"/>
        <w:jc w:val="both"/>
      </w:pPr>
      <w:r>
        <w:rPr>
          <w:rFonts w:ascii="Arial" w:hAnsi="Arial"/>
          <w:b/>
          <w:i w:val="0"/>
          <w:sz w:val="24"/>
        </w:rPr>
        <w:t>[DÍAS INHÁBILES DESCONTADOS CONFORME AL CALENDARIO DEL SAT]</w:t>
      </w:r>
      <w:r>
        <w:rPr>
          <w:rFonts w:ascii="Arial" w:hAnsi="Arial"/>
          <w:b w:val="0"/>
          <w:i w:val="0"/>
          <w:sz w:val="24"/>
        </w:rPr>
        <w:t>: los días que descontaste, con la Resolución Miscelánea o su modificación que los declaró inhábiles.</w:t>
      </w:r>
    </w:p>
    <w:p>
      <w:pPr>
        <w:spacing w:line="360" w:lineRule="auto"/>
        <w:jc w:val="both"/>
      </w:pPr>
      <w:r>
        <w:rPr>
          <w:rFonts w:ascii="Arial" w:hAnsi="Arial"/>
          <w:b/>
          <w:i w:val="0"/>
          <w:sz w:val="24"/>
        </w:rPr>
        <w:t>[FECHA DE VENCIMIENTO DEL PLAZO DE CUARENTA DÍAS HÁBILES]</w:t>
      </w:r>
      <w:r>
        <w:rPr>
          <w:rFonts w:ascii="Arial" w:hAnsi="Arial"/>
          <w:b w:val="0"/>
          <w:i w:val="0"/>
          <w:sz w:val="24"/>
        </w:rPr>
        <w:t>: último de los cuarenta días hábiles del contribuyente, sin suspensión.</w:t>
      </w:r>
    </w:p>
    <w:p>
      <w:pPr>
        <w:spacing w:line="360" w:lineRule="auto"/>
        <w:jc w:val="both"/>
      </w:pPr>
      <w:r>
        <w:rPr>
          <w:rFonts w:ascii="Arial" w:hAnsi="Arial"/>
          <w:b/>
          <w:i w:val="0"/>
          <w:sz w:val="24"/>
        </w:rPr>
        <w:t>[NÚMERO DE OFICIO QUE TUVO POR NO PRESENTADA LA ACLARACIÓN]</w:t>
      </w:r>
      <w:r>
        <w:rPr>
          <w:rFonts w:ascii="Arial" w:hAnsi="Arial"/>
          <w:b w:val="0"/>
          <w:i w:val="0"/>
          <w:sz w:val="24"/>
        </w:rPr>
        <w:t>: el oficio previo a la cancelación, con su fecha.</w:t>
      </w:r>
    </w:p>
    <w:p>
      <w:pPr>
        <w:spacing w:line="360" w:lineRule="auto"/>
        <w:jc w:val="both"/>
      </w:pPr>
      <w:r>
        <w:rPr>
          <w:rFonts w:ascii="Arial" w:hAnsi="Arial"/>
          <w:b/>
          <w:i w:val="0"/>
          <w:sz w:val="24"/>
        </w:rPr>
        <w:t>[PRECISIÓN SOBRE EL RESTABLECIMIENTO ORDENADO EN MEDIDAS CAUTELARES, SI LO HUBO]</w:t>
      </w:r>
      <w:r>
        <w:rPr>
          <w:rFonts w:ascii="Arial" w:hAnsi="Arial"/>
          <w:b w:val="0"/>
          <w:i w:val="0"/>
          <w:sz w:val="24"/>
        </w:rPr>
        <w:t>: si obtuviste medida cautelar, pide que subsista el restablecimiento; si no, pide el restablecimiento inmediato y elimina la mención.</w:t>
      </w:r>
    </w:p>
    <w:p/>
    <w:p>
      <w:pPr>
        <w:spacing w:line="360" w:lineRule="auto"/>
        <w:jc w:val="both"/>
      </w:pPr>
      <w:r>
        <w:rPr>
          <w:rFonts w:ascii="Arial" w:hAnsi="Arial"/>
          <w:b/>
          <w:sz w:val="28"/>
        </w:rPr>
        <w:t>[NÚMERO ORDINAL DEL CONCEPTO] CONCEPTO DE IMPUGNACIÓN. Extemporaneidad de la resolución que dejó sin efectos el certificado de sello digital. La resolución impugnada se emitió después de vencido el plazo de diez días hábiles que el artículo 17-H Bis, párrafo quinto, del Código Fiscal de la Federación y la regla 2.2.15 de la Resolución Miscelánea Fiscal imponen a la autoridad, sin que la pretendida «suspensión» del artículo 17-A de la Ley Federal de Procedimiento Administrativo salve el vicio, actualizándose la causal del artículo 51, fracción II, de la Ley Federal de Procedimiento Contencioso Administrativo.</w:t>
      </w:r>
    </w:p>
    <w:p>
      <w:pPr>
        <w:spacing w:line="360" w:lineRule="auto"/>
        <w:jc w:val="both"/>
      </w:pPr>
      <w:r>
        <w:rPr>
          <w:rFonts w:ascii="Arial" w:hAnsi="Arial"/>
          <w:b/>
          <w:sz w:val="28"/>
        </w:rPr>
        <w:t>I. Síntesis del concepto.</w:t>
      </w:r>
    </w:p>
    <w:p>
      <w:pPr>
        <w:spacing w:line="360" w:lineRule="auto"/>
        <w:jc w:val="both"/>
      </w:pPr>
      <w:r>
        <w:rPr>
          <w:rFonts w:ascii="Arial" w:hAnsi="Arial"/>
          <w:b w:val="0"/>
          <w:i w:val="0"/>
          <w:sz w:val="28"/>
        </w:rPr>
        <w:t xml:space="preserve">En este apartado se demostrará que la resolución contenida en el oficio </w:t>
      </w:r>
      <w:r>
        <w:rPr>
          <w:rFonts w:ascii="Arial" w:hAnsi="Arial"/>
          <w:b/>
          <w:i w:val="0"/>
          <w:sz w:val="28"/>
        </w:rPr>
        <w:t>[NÚMERO DE OFICIO DE LA RESOLUCIÓN IMPUGNADA]</w:t>
      </w:r>
      <w:r>
        <w:rPr>
          <w:rFonts w:ascii="Arial" w:hAnsi="Arial"/>
          <w:b w:val="0"/>
          <w:i w:val="0"/>
          <w:sz w:val="28"/>
        </w:rPr>
        <w:t xml:space="preserve">, emitida por la </w:t>
      </w:r>
      <w:r>
        <w:rPr>
          <w:rFonts w:ascii="Arial" w:hAnsi="Arial"/>
          <w:b/>
          <w:i w:val="0"/>
          <w:sz w:val="28"/>
        </w:rPr>
        <w:t>[AUTORIDAD DEMANDADA]</w:t>
      </w:r>
      <w:r>
        <w:rPr>
          <w:rFonts w:ascii="Arial" w:hAnsi="Arial"/>
          <w:b w:val="0"/>
          <w:i w:val="0"/>
          <w:sz w:val="28"/>
        </w:rPr>
        <w:t xml:space="preserve">, mediante la cual se dejó sin efectos de manera definitiva el certificado de sello digital de </w:t>
      </w:r>
      <w:r>
        <w:rPr>
          <w:rFonts w:ascii="Arial" w:hAnsi="Arial"/>
          <w:b/>
          <w:i w:val="0"/>
          <w:sz w:val="28"/>
        </w:rPr>
        <w:t>[NOMBRE DE LA PARTE ACTORA]</w:t>
      </w:r>
      <w:r>
        <w:rPr>
          <w:rFonts w:ascii="Arial" w:hAnsi="Arial"/>
          <w:b w:val="0"/>
          <w:i w:val="0"/>
          <w:sz w:val="28"/>
        </w:rPr>
        <w:t>, o el mecanismo que utiliza para expedir comprobantes fiscales digitales por internet, nació fuera del plazo perentorio que la ley y las reglas generales del Servicio de Administración Tributaria fijan para dictarla.</w:t>
      </w:r>
    </w:p>
    <w:p>
      <w:pPr>
        <w:spacing w:line="360" w:lineRule="auto"/>
        <w:jc w:val="both"/>
      </w:pPr>
      <w:r>
        <w:rPr>
          <w:rFonts w:ascii="Arial" w:hAnsi="Arial"/>
          <w:b w:val="0"/>
          <w:i w:val="0"/>
          <w:sz w:val="28"/>
        </w:rPr>
        <w:t>La demostración descansa en un cómputo verificable día por día: el plazo de diez días hábiles con que cuenta la autoridad para resolver corre a partir del día siguiente a aquel en que concluye el plazo para atender el requerimiento de información o, en su caso, su prórroga; no a partir del vencimiento de los cuarenta días hábiles del contribuyente ni de la fecha en que se atendió el requerimiento. Ese plazo cubre por igual la respuesta que tiene por no presentada la aclaración y la resolución que deja sin efectos el certificado, pues la regla 2.2.15 las sujeta a un mismo término.</w:t>
      </w:r>
    </w:p>
    <w:p>
      <w:pPr>
        <w:spacing w:line="360" w:lineRule="auto"/>
        <w:jc w:val="both"/>
      </w:pPr>
      <w:r>
        <w:rPr>
          <w:rFonts w:ascii="Arial" w:hAnsi="Arial"/>
          <w:b w:val="0"/>
          <w:i w:val="0"/>
          <w:sz w:val="28"/>
        </w:rPr>
        <w:t>Se demostrará, además, que la autoridad no puede refugiarse en una supuesta suspensión apoyada en el artículo 17-A, último párrafo, de la Ley Federal de Procedimiento Administrativo: el artículo 17-H Bis remite de manera exclusiva a las reglas generales del Servicio de Administración Tributaria; ninguna de esas normas prevé suspensión alguna; y, aun si se admitiera, la suspensión de aquel precepto sólo cesa cuando la persona interesada contesta el requerimiento, hipótesis que la propia autoridad niega.</w:t>
      </w:r>
    </w:p>
    <w:p>
      <w:pPr>
        <w:spacing w:line="360" w:lineRule="auto"/>
        <w:jc w:val="both"/>
      </w:pPr>
      <w:r>
        <w:rPr>
          <w:rFonts w:ascii="Arial" w:hAnsi="Arial"/>
          <w:b w:val="0"/>
          <w:i w:val="0"/>
          <w:sz w:val="28"/>
        </w:rPr>
        <w:t>Si el cómputo se respeta, la conclusión es inevitable: la resolución impugnada omitió un requisito formal, el de dictarse dentro del lapso legal, que afecta las defensas de la parte actora y trasciende al sentido del acto, de modo que se actualiza la causal del artículo 51, fracción II, de la Ley Federal de Procedimiento Contencioso Administrativo y procede declarar su nulidad, con la precisión de que la autoridad ya no puede emitir una nueva resolución en ese procedimiento iniciado de oficio.</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El acto cuya nulidad se demanda es la resolución contenida en el oficio </w:t>
      </w:r>
      <w:r>
        <w:rPr>
          <w:rFonts w:ascii="Arial" w:hAnsi="Arial"/>
          <w:b/>
          <w:i w:val="0"/>
          <w:sz w:val="28"/>
        </w:rPr>
        <w:t>[NÚMERO DE OFICIO DE LA RESOLUCIÓN IMPUGNADA]</w:t>
      </w:r>
      <w:r>
        <w:rPr>
          <w:rFonts w:ascii="Arial" w:hAnsi="Arial"/>
          <w:b w:val="0"/>
          <w:i w:val="0"/>
          <w:sz w:val="28"/>
        </w:rPr>
        <w:t xml:space="preserve">, de fecha </w:t>
      </w:r>
      <w:r>
        <w:rPr>
          <w:rFonts w:ascii="Arial" w:hAnsi="Arial"/>
          <w:b/>
          <w:i w:val="0"/>
          <w:sz w:val="28"/>
        </w:rPr>
        <w:t>[FECHA DE EMISIÓN DE LA RESOLUCIÓN IMPUGNADA]</w:t>
      </w:r>
      <w:r>
        <w:rPr>
          <w:rFonts w:ascii="Arial" w:hAnsi="Arial"/>
          <w:b w:val="0"/>
          <w:i w:val="0"/>
          <w:sz w:val="28"/>
        </w:rPr>
        <w:t xml:space="preserve">, dada a conocer a la parte actora el </w:t>
      </w:r>
      <w:r>
        <w:rPr>
          <w:rFonts w:ascii="Arial" w:hAnsi="Arial"/>
          <w:b/>
          <w:i w:val="0"/>
          <w:sz w:val="28"/>
        </w:rPr>
        <w:t>[FECHA DE NOTIFICACIÓN DE LA RESOLUCIÓN IMPUGNADA]</w:t>
      </w:r>
      <w:r>
        <w:rPr>
          <w:rFonts w:ascii="Arial" w:hAnsi="Arial"/>
          <w:b w:val="0"/>
          <w:i w:val="0"/>
          <w:sz w:val="28"/>
        </w:rPr>
        <w:t xml:space="preserve">, por la que la </w:t>
      </w:r>
      <w:r>
        <w:rPr>
          <w:rFonts w:ascii="Arial" w:hAnsi="Arial"/>
          <w:b/>
          <w:i w:val="0"/>
          <w:sz w:val="28"/>
        </w:rPr>
        <w:t>[AUTORIDAD DEMANDADA]</w:t>
      </w:r>
      <w:r>
        <w:rPr>
          <w:rFonts w:ascii="Arial" w:hAnsi="Arial"/>
          <w:b w:val="0"/>
          <w:i w:val="0"/>
          <w:sz w:val="28"/>
        </w:rPr>
        <w:t>, con fundamento en el artículo 17-H Bis del Código Fiscal de la Federación, dejó sin efectos el certificado de sello digital de la parte actora tras haber tenido por no presentada su solicitud de aclaración.</w:t>
      </w:r>
    </w:p>
    <w:p>
      <w:pPr>
        <w:spacing w:line="360" w:lineRule="auto"/>
        <w:jc w:val="both"/>
      </w:pPr>
      <w:r>
        <w:rPr>
          <w:rFonts w:ascii="Arial" w:hAnsi="Arial"/>
          <w:b w:val="0"/>
          <w:i w:val="0"/>
          <w:sz w:val="28"/>
        </w:rPr>
        <w:t xml:space="preserve">Las normas cuya inobservancia se plantea son el artículo 17-H Bis, párrafo quinto, del Código Fiscal de la Federación, que fija el inicio del plazo de diez días para resolver; los párrafos séptimo y octavo de la regla 2.2.15 de la Resolución Miscelánea Fiscal para </w:t>
      </w:r>
      <w:r>
        <w:rPr>
          <w:rFonts w:ascii="Arial" w:hAnsi="Arial"/>
          <w:b/>
          <w:i w:val="0"/>
          <w:sz w:val="28"/>
        </w:rPr>
        <w:t>[EJERCICIO DE LA RESOLUCIÓN MISCELÁNEA FISCAL APLICABLE]</w:t>
      </w:r>
      <w:r>
        <w:rPr>
          <w:rFonts w:ascii="Arial" w:hAnsi="Arial"/>
          <w:b w:val="0"/>
          <w:i w:val="0"/>
          <w:sz w:val="28"/>
        </w:rPr>
        <w:t>, que sujetan a ese mismo plazo la respuesta que tiene por no presentada la aclaración y la resolución que deja sin efectos el certificado; y el artículo 16, primer párrafo, de la Constitución Política de los Estados Unidos Mexicanos, fuente de los principios de legalidad y seguridad jurídica.</w:t>
      </w:r>
    </w:p>
    <w:p>
      <w:pPr>
        <w:spacing w:line="360" w:lineRule="auto"/>
        <w:jc w:val="both"/>
      </w:pPr>
      <w:r>
        <w:rPr>
          <w:rFonts w:ascii="Arial" w:hAnsi="Arial"/>
          <w:b w:val="0"/>
          <w:i w:val="0"/>
          <w:sz w:val="28"/>
        </w:rPr>
        <w:t>El perjuicio es directo e inmediato: desde la emisión tardía del acto, la parte actora quedó impedida para expedir comprobantes fiscales digitales por internet y, con ello, para facturar, cobrar a su clientela, pagar a sus proveedores y sostener su actividad económica. Se trata de una afectación que se prolonga cada día que el certificado permanece cancelado y que ninguna resolución posterior repara, lo que explica por qué el legislador sujetó a la autoridad a un plazo máximo para decidir la situación definitiva del contribuyente.</w:t>
      </w:r>
    </w:p>
    <w:p>
      <w:pPr>
        <w:spacing w:line="360" w:lineRule="auto"/>
        <w:jc w:val="both"/>
      </w:pPr>
      <w:r>
        <w:rPr>
          <w:rFonts w:ascii="Arial" w:hAnsi="Arial"/>
          <w:b w:val="0"/>
          <w:i w:val="0"/>
          <w:sz w:val="28"/>
        </w:rPr>
        <w:t>De prosperar este concepto, el beneficio es el mayor posible en el juicio en lo que hace a este procedimiento: al haberse agotado el plazo para dictar la resolución que lo culmina, la autoridad no puede emitir una nueva en ese mismo procedimiento iniciado de oficio y las cosas deben permanecer en el estado que guardaban antes de la cancelación, con el certificado restablecido. Por ello se solicita su estudio preferente, conforme al artículo 50, segundo párrafo, de la Ley Federal de Procedimiento Contencioso Administrativo.</w:t>
      </w:r>
    </w:p>
    <w:p>
      <w:pPr>
        <w:spacing w:line="360" w:lineRule="auto"/>
        <w:jc w:val="both"/>
      </w:pPr>
      <w:r>
        <w:rPr>
          <w:rFonts w:ascii="Arial" w:hAnsi="Arial"/>
          <w:b/>
          <w:sz w:val="28"/>
        </w:rPr>
        <w:t>III. Desarrollo doctrinal y normativo. Premisa mayor.</w:t>
      </w:r>
    </w:p>
    <w:p>
      <w:pPr>
        <w:spacing w:line="360" w:lineRule="auto"/>
        <w:jc w:val="both"/>
      </w:pPr>
      <w:r>
        <w:rPr>
          <w:rFonts w:ascii="Arial" w:hAnsi="Arial"/>
          <w:b w:val="0"/>
          <w:i w:val="0"/>
          <w:sz w:val="28"/>
        </w:rPr>
        <w:t>Conviene partir de la función que cumplen los plazos impuestos a la autoridad. La doctrina procesal define la caducidad como la extinción de una facultad por el mero transcurso del plazo que la ley configura como carga para su ejercicio oportuno.</w:t>
      </w:r>
      <w:r>
        <w:rPr>
          <w:rFonts w:ascii="Arial" w:hAnsi="Arial"/>
          <w:vertAlign w:val="superscript"/>
        </w:rPr>
        <w:t>1</w:t>
      </w:r>
      <w:r>
        <w:rPr>
          <w:rFonts w:ascii="Arial" w:hAnsi="Arial"/>
          <w:b w:val="0"/>
          <w:i w:val="0"/>
          <w:sz w:val="28"/>
        </w:rPr>
        <w:t xml:space="preserve"> Cuando esa carga pesa sobre un órgano del Estado, el plazo no es una recomendación ni un dato estadístico: es el límite temporal de una potestad que nace de la ley, vive el tiempo que la ley le concede y se agota cuando ese tiempo vence.</w:t>
      </w:r>
    </w:p>
    <w:p>
      <w:pPr>
        <w:spacing w:line="360" w:lineRule="auto"/>
        <w:jc w:val="both"/>
      </w:pPr>
      <w:r>
        <w:rPr>
          <w:rFonts w:ascii="Arial" w:hAnsi="Arial"/>
          <w:b w:val="0"/>
          <w:i w:val="0"/>
          <w:sz w:val="28"/>
        </w:rPr>
        <w:t>Esa lógica es expresión de la garantía de seguridad jurídica, entendida como la estabilidad del ordenamiento que asegura el equilibrio en las relaciones entre los órganos del Estado y las personas.</w:t>
      </w:r>
      <w:r>
        <w:rPr>
          <w:rFonts w:ascii="Arial" w:hAnsi="Arial"/>
          <w:vertAlign w:val="superscript"/>
        </w:rPr>
        <w:t>2</w:t>
      </w:r>
      <w:r>
        <w:rPr>
          <w:rFonts w:ascii="Arial" w:hAnsi="Arial"/>
          <w:b w:val="0"/>
          <w:i w:val="0"/>
          <w:sz w:val="28"/>
        </w:rPr>
        <w:t xml:space="preserve"> La contribuyente a quien se restringió el uso de su certificado tiene derecho a saber en qué fecha, a más tardar, conocerá su situación definitiva; un procedimiento cuyo desenlace depende de la conveniencia de la autoridad convierte esa certeza en incertidumbre indefinida.</w:t>
      </w:r>
    </w:p>
    <w:p>
      <w:pPr>
        <w:spacing w:line="360" w:lineRule="auto"/>
        <w:jc w:val="both"/>
      </w:pPr>
      <w:r>
        <w:rPr>
          <w:rFonts w:ascii="Arial" w:hAnsi="Arial"/>
          <w:b w:val="0"/>
          <w:i w:val="0"/>
          <w:sz w:val="28"/>
        </w:rPr>
        <w:t>A ello se suma el principio de legalidad: bajo el principio de seguridad jurídica los poderes públicos quedan sujetos al derecho y se les controla a través de un ordenamiento preestablecido.</w:t>
      </w:r>
      <w:r>
        <w:rPr>
          <w:rFonts w:ascii="Arial" w:hAnsi="Arial"/>
          <w:vertAlign w:val="superscript"/>
        </w:rPr>
        <w:t>3</w:t>
      </w:r>
      <w:r>
        <w:rPr>
          <w:rFonts w:ascii="Arial" w:hAnsi="Arial"/>
          <w:b w:val="0"/>
          <w:i w:val="0"/>
          <w:sz w:val="28"/>
        </w:rPr>
        <w:t xml:space="preserve"> De ahí que las autoridades sólo puedan hacer lo que la norma les permite y como se los permite; un componente esencial de esa forma es el temporal: la facultad de decidir se ejerce dentro del plazo legal o no se ejerce válidamente, y el acto dictado después carece de uno de los requisitos que condicionan su regularidad.</w:t>
      </w:r>
    </w:p>
    <w:p>
      <w:pPr>
        <w:spacing w:line="360" w:lineRule="auto"/>
        <w:jc w:val="both"/>
      </w:pPr>
      <w:r>
        <w:rPr>
          <w:rFonts w:ascii="Arial" w:hAnsi="Arial"/>
          <w:b w:val="0"/>
          <w:i w:val="0"/>
          <w:sz w:val="28"/>
        </w:rPr>
        <w:t xml:space="preserve">Sobre esa base debe examinarse el texto aplicable. El artículo 17-H Bis del Código Fiscal de la Federación, en su párrafo segundo, concede a la contribuyente un plazo de cuarenta días hábiles para presentar la solicitud de aclaración </w:t>
      </w:r>
      <w:r>
        <w:rPr>
          <w:rFonts w:ascii="Arial" w:hAnsi="Arial"/>
          <w:b w:val="0"/>
          <w:i/>
          <w:sz w:val="28"/>
        </w:rPr>
        <w:t>«a través del procedimiento que, mediante reglas de carácter general, determine el Servicio de Administración Tributaria»</w:t>
      </w:r>
      <w:r>
        <w:rPr>
          <w:rFonts w:ascii="Arial" w:hAnsi="Arial"/>
          <w:b w:val="0"/>
          <w:i w:val="0"/>
          <w:sz w:val="28"/>
        </w:rPr>
        <w:t xml:space="preserve">, y ordena a la autoridad emitir la resolución sobre dicho procedimiento </w:t>
      </w:r>
      <w:r>
        <w:rPr>
          <w:rFonts w:ascii="Arial" w:hAnsi="Arial"/>
          <w:b w:val="0"/>
          <w:i/>
          <w:sz w:val="28"/>
        </w:rPr>
        <w:t>«en un plazo máximo de diez días, contado a partir del día siguiente a aquél en que se reciba la solicitud correspondiente»</w:t>
      </w:r>
      <w:r>
        <w:rPr>
          <w:rFonts w:ascii="Arial" w:hAnsi="Arial"/>
          <w:b w:val="0"/>
          <w:i w:val="0"/>
          <w:sz w:val="28"/>
        </w:rPr>
        <w:t>.</w:t>
      </w:r>
    </w:p>
    <w:p>
      <w:pPr>
        <w:spacing w:line="360" w:lineRule="auto"/>
        <w:jc w:val="both"/>
      </w:pPr>
      <w:r>
        <w:rPr>
          <w:rFonts w:ascii="Arial" w:hAnsi="Arial"/>
          <w:b w:val="0"/>
          <w:i w:val="0"/>
          <w:sz w:val="28"/>
        </w:rPr>
        <w:t xml:space="preserve">El párrafo tercero permite a la autoridad requerir datos, información o documentación adicionales, con un plazo máximo de cinco días para su presentación; el cuarto autoriza una prórroga única de cinco días, que </w:t>
      </w:r>
      <w:r>
        <w:rPr>
          <w:rFonts w:ascii="Arial" w:hAnsi="Arial"/>
          <w:b w:val="0"/>
          <w:i/>
          <w:sz w:val="28"/>
        </w:rPr>
        <w:t>«se entenderá otorgada sin necesidad de que exista pronunciamiento por parte de la autoridad y se comenzará a computar a partir del día siguiente al del vencimiento del plazo previsto en el párrafo anterior»</w:t>
      </w:r>
      <w:r>
        <w:rPr>
          <w:rFonts w:ascii="Arial" w:hAnsi="Arial"/>
          <w:b w:val="0"/>
          <w:i w:val="0"/>
          <w:sz w:val="28"/>
        </w:rPr>
        <w:t>.</w:t>
      </w:r>
    </w:p>
    <w:p>
      <w:pPr>
        <w:spacing w:line="360" w:lineRule="auto"/>
        <w:jc w:val="both"/>
      </w:pPr>
      <w:r>
        <w:rPr>
          <w:rFonts w:ascii="Arial" w:hAnsi="Arial"/>
          <w:b w:val="0"/>
          <w:i w:val="0"/>
          <w:sz w:val="28"/>
        </w:rPr>
        <w:t xml:space="preserve">El párrafo quinto es el eje de este concepto. Dispone que, transcurrido el plazo del requerimiento y, en su caso, el de la prórroga, sin que la contribuyente conteste, se tendrá por no presentada su solicitud, y a continuación fija el punto de partida del plazo de la autoridad: </w:t>
      </w:r>
      <w:r>
        <w:rPr>
          <w:rFonts w:ascii="Arial" w:hAnsi="Arial"/>
          <w:b w:val="0"/>
          <w:i/>
          <w:sz w:val="28"/>
        </w:rPr>
        <w:t>«El plazo de diez días para resolver la solicitud de aclaración comenzará a computarse a partir del día siguiente a aquél en que concluya el plazo para aportar los datos, información o documentación requeridos o, en su caso, el de la prórroga»</w:t>
      </w:r>
      <w:r>
        <w:rPr>
          <w:rFonts w:ascii="Arial" w:hAnsi="Arial"/>
          <w:b w:val="0"/>
          <w:i w:val="0"/>
          <w:sz w:val="28"/>
        </w:rPr>
        <w:t>.</w:t>
      </w:r>
    </w:p>
    <w:p>
      <w:pPr>
        <w:spacing w:line="360" w:lineRule="auto"/>
        <w:jc w:val="both"/>
      </w:pPr>
      <w:r>
        <w:rPr>
          <w:rFonts w:ascii="Arial" w:hAnsi="Arial"/>
          <w:b w:val="0"/>
          <w:i w:val="0"/>
          <w:sz w:val="28"/>
        </w:rPr>
        <w:t xml:space="preserve">La regla 2.2.15 de la Resolución Miscelánea Fiscal cierra el sistema. Su párrafo séptimo ordena emitir </w:t>
      </w:r>
      <w:r>
        <w:rPr>
          <w:rFonts w:ascii="Arial" w:hAnsi="Arial"/>
          <w:b w:val="0"/>
          <w:i/>
          <w:sz w:val="28"/>
        </w:rPr>
        <w:t>«la resolución respectiva»</w:t>
      </w:r>
      <w:r>
        <w:rPr>
          <w:rFonts w:ascii="Arial" w:hAnsi="Arial"/>
          <w:b w:val="0"/>
          <w:i w:val="0"/>
          <w:sz w:val="28"/>
        </w:rPr>
        <w:t xml:space="preserve"> tanto cuando la contribuyente subsanó o desvirtuó como </w:t>
      </w:r>
      <w:r>
        <w:rPr>
          <w:rFonts w:ascii="Arial" w:hAnsi="Arial"/>
          <w:b w:val="0"/>
          <w:i/>
          <w:sz w:val="28"/>
        </w:rPr>
        <w:t>«en caso contrario»</w:t>
      </w:r>
      <w:r>
        <w:rPr>
          <w:rFonts w:ascii="Arial" w:hAnsi="Arial"/>
          <w:b w:val="0"/>
          <w:i w:val="0"/>
          <w:sz w:val="28"/>
        </w:rPr>
        <w:t xml:space="preserve">, supuesto en que </w:t>
      </w:r>
      <w:r>
        <w:rPr>
          <w:rFonts w:ascii="Arial" w:hAnsi="Arial"/>
          <w:b w:val="0"/>
          <w:i/>
          <w:sz w:val="28"/>
        </w:rPr>
        <w:t>«se dejará sin efectos el CSD»</w:t>
      </w:r>
      <w:r>
        <w:rPr>
          <w:rFonts w:ascii="Arial" w:hAnsi="Arial"/>
          <w:b w:val="0"/>
          <w:i w:val="0"/>
          <w:sz w:val="28"/>
        </w:rPr>
        <w:t xml:space="preserve">. Su párrafo octavo somete a un mismo plazo esa resolución </w:t>
      </w:r>
      <w:r>
        <w:rPr>
          <w:rFonts w:ascii="Arial" w:hAnsi="Arial"/>
          <w:b w:val="0"/>
          <w:i/>
          <w:sz w:val="28"/>
        </w:rPr>
        <w:t>«así como la respuesta por la cual se indique al contribuyente que se tiene por no presentada la solicitud de aclaración»</w:t>
      </w:r>
      <w:r>
        <w:rPr>
          <w:rFonts w:ascii="Arial" w:hAnsi="Arial"/>
          <w:b w:val="0"/>
          <w:i w:val="0"/>
          <w:sz w:val="28"/>
        </w:rPr>
        <w:t xml:space="preserve">: ambas deben emitirse </w:t>
      </w:r>
      <w:r>
        <w:rPr>
          <w:rFonts w:ascii="Arial" w:hAnsi="Arial"/>
          <w:b w:val="0"/>
          <w:i/>
          <w:sz w:val="28"/>
        </w:rPr>
        <w:t>«dentro de los diez días hábiles siguientes»</w:t>
      </w:r>
      <w:r>
        <w:rPr>
          <w:rFonts w:ascii="Arial" w:hAnsi="Arial"/>
          <w:b w:val="0"/>
          <w:i w:val="0"/>
          <w:sz w:val="28"/>
        </w:rPr>
        <w:t xml:space="preserve"> a aquel en que concluya el plazo del requerimiento o el de la prórroga.</w:t>
      </w:r>
    </w:p>
    <w:p>
      <w:pPr>
        <w:spacing w:line="360" w:lineRule="auto"/>
        <w:jc w:val="both"/>
      </w:pPr>
      <w:r>
        <w:rPr>
          <w:rFonts w:ascii="Arial" w:hAnsi="Arial"/>
          <w:b w:val="0"/>
          <w:i w:val="0"/>
          <w:sz w:val="28"/>
        </w:rPr>
        <w:t xml:space="preserve">La regla añade una sola salvedad: cuando se tenga por no presentada la aclaración, se dejará a salvo el derecho de presentar una nueva </w:t>
      </w:r>
      <w:r>
        <w:rPr>
          <w:rFonts w:ascii="Arial" w:hAnsi="Arial"/>
          <w:b w:val="0"/>
          <w:i/>
          <w:sz w:val="28"/>
        </w:rPr>
        <w:t>«siempre y cuando se encuentre aún dentro del plazo de cuarenta días hábiles»</w:t>
      </w:r>
      <w:r>
        <w:rPr>
          <w:rFonts w:ascii="Arial" w:hAnsi="Arial"/>
          <w:b w:val="0"/>
          <w:i w:val="0"/>
          <w:sz w:val="28"/>
        </w:rPr>
        <w:t xml:space="preserve">. Esa salvedad no desplaza el plazo de la autoridad ni le concede una espera: sólo ordena reconocer ese derecho en la propia resolución, si al dictarla aún corre el plazo de cuarenta días. Y ese plazo, según el propio párrafo quinto del artículo 17-H Bis, </w:t>
      </w:r>
      <w:r>
        <w:rPr>
          <w:rFonts w:ascii="Arial" w:hAnsi="Arial"/>
          <w:b w:val="0"/>
          <w:i/>
          <w:sz w:val="28"/>
        </w:rPr>
        <w:t>«continuará corriendo»</w:t>
      </w:r>
      <w:r>
        <w:rPr>
          <w:rFonts w:ascii="Arial" w:hAnsi="Arial"/>
          <w:b w:val="0"/>
          <w:i w:val="0"/>
          <w:sz w:val="28"/>
        </w:rPr>
        <w:t xml:space="preserve"> una vez que la aclaración se tiene por no presentada, sin que ninguna de esas normas prevea un mecanismo de suspensión.</w:t>
      </w:r>
    </w:p>
    <w:p>
      <w:pPr>
        <w:spacing w:line="360" w:lineRule="auto"/>
        <w:jc w:val="both"/>
      </w:pPr>
      <w:r>
        <w:rPr>
          <w:rFonts w:ascii="Arial" w:hAnsi="Arial"/>
          <w:b w:val="0"/>
          <w:i w:val="0"/>
          <w:sz w:val="28"/>
        </w:rPr>
        <w:t>El sistema es coherente con el artículo 17-H del mismo Código, cuyos párrafos antepenúltimo y penúltimo establecen que la contribuyente que agotó el procedimiento del artículo 17-H Bis sin subsanar ni desvirtuar debe recibir la resolución sobre la cancelación de su certificado dentro del plazo máximo de diez días. Todo el conjunto normativo, incluido el procedimiento del artículo 69-B del Código, fija plazos máximos para decidir en definitiva la situación jurídica de la contribuyente, como lo ha reconocido la Sala en casos análogos.</w:t>
      </w:r>
    </w:p>
    <w:p>
      <w:pPr>
        <w:spacing w:line="360" w:lineRule="auto"/>
        <w:jc w:val="both"/>
      </w:pPr>
      <w:r>
        <w:rPr>
          <w:rFonts w:ascii="Arial" w:hAnsi="Arial"/>
          <w:b w:val="0"/>
          <w:i w:val="0"/>
          <w:sz w:val="28"/>
        </w:rPr>
        <w:t>Resta una precisión sobre la Ley Federal de Procedimiento Administrativo. La doctrina sobre coherencia normativa recuerda que la supletoriedad sólo opera para integrar una omisión de la ley que se complementa o para interpretarla conforme a principios generales de otras leyes, y, cuando una ley remite expresamente a otra, la supletoria se aplica sólo en los supuestos que la primera no contempla.</w:t>
      </w:r>
      <w:r>
        <w:rPr>
          <w:rFonts w:ascii="Arial" w:hAnsi="Arial"/>
          <w:vertAlign w:val="superscript"/>
        </w:rPr>
        <w:t>4</w:t>
      </w:r>
      <w:r>
        <w:rPr>
          <w:rFonts w:ascii="Arial" w:hAnsi="Arial"/>
          <w:b w:val="0"/>
          <w:i w:val="0"/>
          <w:sz w:val="28"/>
        </w:rPr>
        <w:t xml:space="preserve"> El artículo 17-H Bis no remite a esa ley, sino a las reglas generales del Servicio de Administración Tributaria, y en materia de plazos no deja omisión alguna que integrar: cada término y cada punto de partida están escritos.</w:t>
      </w:r>
    </w:p>
    <w:p>
      <w:pPr>
        <w:spacing w:line="360" w:lineRule="auto"/>
        <w:jc w:val="both"/>
      </w:pPr>
      <w:r>
        <w:rPr>
          <w:rFonts w:ascii="Arial" w:hAnsi="Arial"/>
          <w:b w:val="0"/>
          <w:i w:val="0"/>
          <w:sz w:val="28"/>
        </w:rPr>
        <w:t>Finalmente, aunque ni el artículo 17-H Bis ni la regla 2.2.15 enuncian la consecuencia de resolver fuera de plazo, ello no deja la emisión del acto al arbitrio de la autoridad. El artículo 51, fracción II, de la Ley Federal de Procedimiento Contencioso Administrativo declara ilegal la resolución que omite los requisitos formales exigidos por las leyes cuando esa omisión afecta las defensas del particular y trasciende al sentido del acto; dictar la resolución dentro del lapso legal es uno de esos requisitos, como lo ha reconocido la Sala en casos análogos sobre cancelación de certificados.</w:t>
      </w:r>
    </w:p>
    <w:p>
      <w:pPr>
        <w:spacing w:line="360" w:lineRule="auto"/>
        <w:jc w:val="both"/>
      </w:pPr>
      <w:r>
        <w:rPr>
          <w:rFonts w:ascii="Arial" w:hAnsi="Arial"/>
          <w:b/>
          <w:sz w:val="28"/>
        </w:rPr>
        <w:t>IV. Aplicación al caso concreto y refutación de la motivación de la autoridad.</w:t>
      </w:r>
    </w:p>
    <w:p>
      <w:pPr>
        <w:spacing w:line="360" w:lineRule="auto"/>
        <w:jc w:val="both"/>
      </w:pPr>
      <w:r>
        <w:rPr>
          <w:rFonts w:ascii="Arial" w:hAnsi="Arial"/>
          <w:b w:val="0"/>
          <w:i w:val="0"/>
          <w:sz w:val="28"/>
        </w:rPr>
        <w:t xml:space="preserve">Los hechos del expediente encuadran con exactitud en la premisa expuesta. La restricción temporal del certificado se notificó a la parte actora el </w:t>
      </w:r>
      <w:r>
        <w:rPr>
          <w:rFonts w:ascii="Arial" w:hAnsi="Arial"/>
          <w:b/>
          <w:i w:val="0"/>
          <w:sz w:val="28"/>
        </w:rPr>
        <w:t>[FECHA DE NOTIFICACIÓN DEL OFICIO DE RESTRICCIÓN TEMPORAL]</w:t>
      </w:r>
      <w:r>
        <w:rPr>
          <w:rFonts w:ascii="Arial" w:hAnsi="Arial"/>
          <w:b w:val="0"/>
          <w:i w:val="0"/>
          <w:sz w:val="28"/>
        </w:rPr>
        <w:t xml:space="preserve">; la solicitud de aclaración se presentó el </w:t>
      </w:r>
      <w:r>
        <w:rPr>
          <w:rFonts w:ascii="Arial" w:hAnsi="Arial"/>
          <w:b/>
          <w:i w:val="0"/>
          <w:sz w:val="28"/>
        </w:rPr>
        <w:t>[FECHA DE PRESENTACIÓN DE LA SOLICITUD DE ACLARACIÓN]</w:t>
      </w:r>
      <w:r>
        <w:rPr>
          <w:rFonts w:ascii="Arial" w:hAnsi="Arial"/>
          <w:b w:val="0"/>
          <w:i w:val="0"/>
          <w:sz w:val="28"/>
        </w:rPr>
        <w:t xml:space="preserve">; la autoridad formuló requerimiento de información, y el plazo para atenderlo, incluida, en su caso, la prórroga única solicitada en tiempo, concluyó el </w:t>
      </w:r>
      <w:r>
        <w:rPr>
          <w:rFonts w:ascii="Arial" w:hAnsi="Arial"/>
          <w:b/>
          <w:i w:val="0"/>
          <w:sz w:val="28"/>
        </w:rPr>
        <w:t>[FECHA DE VENCIMIENTO DEL PLAZO DEL REQUERIMIENTO O DE SU PRÓRROGA]</w:t>
      </w:r>
      <w:r>
        <w:rPr>
          <w:rFonts w:ascii="Arial" w:hAnsi="Arial"/>
          <w:b w:val="0"/>
          <w:i w:val="0"/>
          <w:sz w:val="28"/>
        </w:rPr>
        <w:t>.</w:t>
      </w:r>
    </w:p>
    <w:p>
      <w:pPr>
        <w:spacing w:line="360" w:lineRule="auto"/>
        <w:jc w:val="both"/>
      </w:pPr>
      <w:r>
        <w:rPr>
          <w:rFonts w:ascii="Arial" w:hAnsi="Arial"/>
          <w:b w:val="0"/>
          <w:i w:val="0"/>
          <w:sz w:val="28"/>
        </w:rPr>
        <w:t xml:space="preserve">Conforme al párrafo quinto del artículo 17-H Bis y al párrafo octavo de la regla 2.2.15, el plazo de diez días hábiles de la autoridad comenzó a correr el día hábil siguiente a esa fecha y concluyó el </w:t>
      </w:r>
      <w:r>
        <w:rPr>
          <w:rFonts w:ascii="Arial" w:hAnsi="Arial"/>
          <w:b/>
          <w:i w:val="0"/>
          <w:sz w:val="28"/>
        </w:rPr>
        <w:t>[DÉCIMO DÍA HÁBIL DEL PLAZO DE LA AUTORIDAD]</w:t>
      </w:r>
      <w:r>
        <w:rPr>
          <w:rFonts w:ascii="Arial" w:hAnsi="Arial"/>
          <w:b w:val="0"/>
          <w:i w:val="0"/>
          <w:sz w:val="28"/>
        </w:rPr>
        <w:t xml:space="preserve">, descontando sábados, domingos y los días inhábiles del calendario del Servicio de Administración Tributaria, a saber, </w:t>
      </w:r>
      <w:r>
        <w:rPr>
          <w:rFonts w:ascii="Arial" w:hAnsi="Arial"/>
          <w:b/>
          <w:i w:val="0"/>
          <w:sz w:val="28"/>
        </w:rPr>
        <w:t>[DÍAS INHÁBILES DESCONTADOS CONFORME AL CALENDARIO DEL SAT]</w:t>
      </w:r>
      <w:r>
        <w:rPr>
          <w:rFonts w:ascii="Arial" w:hAnsi="Arial"/>
          <w:b w:val="0"/>
          <w:i w:val="0"/>
          <w:sz w:val="28"/>
        </w:rPr>
        <w:t>. Dentro de ese lapso la autoridad debía emitir las dos determinaciones que la regla sujeta a un mismo término: la que tuvo por no presentada la aclaración y la que dejó sin efectos el certificado.</w:t>
      </w:r>
    </w:p>
    <w:p>
      <w:pPr>
        <w:spacing w:line="360" w:lineRule="auto"/>
        <w:jc w:val="both"/>
      </w:pPr>
      <w:r>
        <w:rPr>
          <w:rFonts w:ascii="Arial" w:hAnsi="Arial"/>
          <w:b w:val="0"/>
          <w:i w:val="0"/>
          <w:sz w:val="28"/>
        </w:rPr>
        <w:t xml:space="preserve">La resolución impugnada, sin embargo, se emitió el </w:t>
      </w:r>
      <w:r>
        <w:rPr>
          <w:rFonts w:ascii="Arial" w:hAnsi="Arial"/>
          <w:b/>
          <w:i w:val="0"/>
          <w:sz w:val="28"/>
        </w:rPr>
        <w:t>[FECHA DE EMISIÓN DE LA RESOLUCIÓN IMPUGNADA]</w:t>
      </w:r>
      <w:r>
        <w:rPr>
          <w:rFonts w:ascii="Arial" w:hAnsi="Arial"/>
          <w:b w:val="0"/>
          <w:i w:val="0"/>
          <w:sz w:val="28"/>
        </w:rPr>
        <w:t xml:space="preserve"> y se dio a conocer a la parte actora el </w:t>
      </w:r>
      <w:r>
        <w:rPr>
          <w:rFonts w:ascii="Arial" w:hAnsi="Arial"/>
          <w:b/>
          <w:i w:val="0"/>
          <w:sz w:val="28"/>
        </w:rPr>
        <w:t>[FECHA DE NOTIFICACIÓN DE LA RESOLUCIÓN IMPUGNADA]</w:t>
      </w:r>
      <w:r>
        <w:rPr>
          <w:rFonts w:ascii="Arial" w:hAnsi="Arial"/>
          <w:b w:val="0"/>
          <w:i w:val="0"/>
          <w:sz w:val="28"/>
        </w:rPr>
        <w:t>, es decir, con posterioridad al décimo día hábil. Importa subrayar que la extemporaneidad se predica de la fecha de emisión y no sólo de la de notificación, de modo que resulta indiferente si el procedimiento de notificación por buzón tributario se inició o no en el último día del plazo: un acto que se firma después de vencido el término no puede tenerse por dictado en tiempo bajo ninguna de las dos lecturas.</w:t>
      </w:r>
    </w:p>
    <w:p>
      <w:pPr>
        <w:spacing w:line="360" w:lineRule="auto"/>
        <w:jc w:val="both"/>
      </w:pPr>
      <w:r>
        <w:rPr>
          <w:rFonts w:ascii="Arial" w:hAnsi="Arial"/>
          <w:b w:val="0"/>
          <w:i w:val="0"/>
          <w:sz w:val="28"/>
        </w:rPr>
        <w:t>La subsunción es directa. La autoridad estaba obligada a resolver dentro de los diez días hábiles siguientes al vencimiento del requerimiento o de su prórroga; resolvió después; luego omitió un requisito formal exigido por el artículo 17-H Bis y por la regla 2.2.15. Esa omisión afectó las defensas de la parte actora, que permaneció sin certificado y sin certeza sobre su situación, y trascendió al sentido del acto, pues éste se dictó cuando la potestad para dictarlo ya estaba agotada. Se actualiza, por tanto, la hipótesis del artículo 51, fracción II, de la Ley Federal de Procedimiento Contencioso Administrativo.</w:t>
      </w:r>
    </w:p>
    <w:p>
      <w:pPr>
        <w:spacing w:line="360" w:lineRule="auto"/>
        <w:jc w:val="both"/>
      </w:pPr>
      <w:r>
        <w:rPr>
          <w:rFonts w:ascii="Arial" w:hAnsi="Arial"/>
          <w:b w:val="0"/>
          <w:i w:val="0"/>
          <w:sz w:val="28"/>
        </w:rPr>
        <w:t xml:space="preserve">Frente a ello, la autoridad sostiene que, al tener por no presentada la aclaración, ésta devino </w:t>
      </w:r>
      <w:r>
        <w:rPr>
          <w:rFonts w:ascii="Arial" w:hAnsi="Arial"/>
          <w:b w:val="0"/>
          <w:i/>
          <w:sz w:val="28"/>
        </w:rPr>
        <w:t>«inexistente»</w:t>
      </w:r>
      <w:r>
        <w:rPr>
          <w:rFonts w:ascii="Arial" w:hAnsi="Arial"/>
          <w:b w:val="0"/>
          <w:i w:val="0"/>
          <w:sz w:val="28"/>
        </w:rPr>
        <w:t>, que por eso debía esperar a que terminara de correr el plazo de cuarenta días hábiles de la contribuyente y resolver en los diez días posteriores, y que ese plazo de cuarenta días estuvo suspendido, con apoyo en el artículo 17-A, último párrafo, de la Ley Federal de Procedimiento Administrativo, desde el requerimiento hasta el vencimiento de la prórroga. Ese razonamiento es lógicamente inválido por tres razones independientes, cada una suficiente por sí sola.</w:t>
      </w:r>
    </w:p>
    <w:p>
      <w:pPr>
        <w:spacing w:line="360" w:lineRule="auto"/>
        <w:jc w:val="both"/>
      </w:pPr>
      <w:r>
        <w:rPr>
          <w:rFonts w:ascii="Arial" w:hAnsi="Arial"/>
          <w:b w:val="0"/>
          <w:i w:val="0"/>
          <w:sz w:val="28"/>
        </w:rPr>
        <w:t>En primer lugar, incurre en la falacia del embudo, que consiste en rechazar la aplicación de una regla apelando a excepciones infundadas.</w:t>
      </w:r>
      <w:r>
        <w:rPr>
          <w:rFonts w:ascii="Arial" w:hAnsi="Arial"/>
          <w:vertAlign w:val="superscript"/>
        </w:rPr>
        <w:t>5</w:t>
      </w:r>
      <w:r>
        <w:rPr>
          <w:rFonts w:ascii="Arial" w:hAnsi="Arial"/>
          <w:b w:val="0"/>
          <w:i w:val="0"/>
          <w:sz w:val="28"/>
        </w:rPr>
        <w:t xml:space="preserve"> La regla es clara: el plazo de la autoridad corre desde el día siguiente al vencimiento del requerimiento o de su prórroga y cubre ambas resoluciones. La </w:t>
      </w:r>
      <w:r>
        <w:rPr>
          <w:rFonts w:ascii="Arial" w:hAnsi="Arial"/>
          <w:b w:val="0"/>
          <w:i/>
          <w:sz w:val="28"/>
        </w:rPr>
        <w:t>«excepción»</w:t>
      </w:r>
      <w:r>
        <w:rPr>
          <w:rFonts w:ascii="Arial" w:hAnsi="Arial"/>
          <w:b w:val="0"/>
          <w:i w:val="0"/>
          <w:sz w:val="28"/>
        </w:rPr>
        <w:t xml:space="preserve"> invocada, una suspensión del plazo de cuarenta días, no está en el artículo 17-H Bis, cuyo párrafo quinto ordena que ese plazo </w:t>
      </w:r>
      <w:r>
        <w:rPr>
          <w:rFonts w:ascii="Arial" w:hAnsi="Arial"/>
          <w:b w:val="0"/>
          <w:i/>
          <w:sz w:val="28"/>
        </w:rPr>
        <w:t>«continuará corriendo»</w:t>
      </w:r>
      <w:r>
        <w:rPr>
          <w:rFonts w:ascii="Arial" w:hAnsi="Arial"/>
          <w:b w:val="0"/>
          <w:i w:val="0"/>
          <w:sz w:val="28"/>
        </w:rPr>
        <w:t>, ni en la regla 2.2.15, que no contempla suspensión alguna. La autoridad se exceptúa de una regla que la obliga sin norma que la exceptúe.</w:t>
      </w:r>
    </w:p>
    <w:p>
      <w:pPr>
        <w:spacing w:line="360" w:lineRule="auto"/>
        <w:jc w:val="both"/>
      </w:pPr>
      <w:r>
        <w:rPr>
          <w:rFonts w:ascii="Arial" w:hAnsi="Arial"/>
          <w:b w:val="0"/>
          <w:i w:val="0"/>
          <w:sz w:val="28"/>
        </w:rPr>
        <w:t>En segundo lugar, el argumento es una petición de principio, que la doctrina describe como demostrar por sí mismo lo que no está claro ni es conocido por sí mismo, esto es, no demostrar.</w:t>
      </w:r>
      <w:r>
        <w:rPr>
          <w:rFonts w:ascii="Arial" w:hAnsi="Arial"/>
          <w:vertAlign w:val="superscript"/>
        </w:rPr>
        <w:t>6</w:t>
      </w:r>
      <w:r>
        <w:rPr>
          <w:rFonts w:ascii="Arial" w:hAnsi="Arial"/>
          <w:b w:val="0"/>
          <w:i w:val="0"/>
          <w:sz w:val="28"/>
        </w:rPr>
        <w:t xml:space="preserve"> La autoridad debía acreditar que resolvió en tiempo; en lugar de hacerlo, afirma que el plazo estuvo suspendido y de ahí deduce su oportunidad. Pero la suspensión no consta en ningún oficio previo: nunca se informó a la parte actora que su plazo estuviera suspendido, con qué fundamento, por qué periodo ni cuántos días le restaban. La premisa aparece por primera vez en la resolución impugnada, para justificar un retraso consumado.</w:t>
      </w:r>
    </w:p>
    <w:p>
      <w:pPr>
        <w:spacing w:line="360" w:lineRule="auto"/>
        <w:jc w:val="both"/>
      </w:pPr>
      <w:r>
        <w:rPr>
          <w:rFonts w:ascii="Arial" w:hAnsi="Arial"/>
          <w:b w:val="0"/>
          <w:i w:val="0"/>
          <w:sz w:val="28"/>
        </w:rPr>
        <w:t xml:space="preserve">En tercer lugar, la invocación del artículo 17-A, último párrafo, de la Ley Federal de Procedimiento Administrativo es una falsa analogía, pues traslada a un procedimiento fiscal específico una regla concebida para trámites administrativos de otra naturaleza, y además es autocontradictoria. Ese precepto dispone que el plazo para resolver el trámite </w:t>
      </w:r>
      <w:r>
        <w:rPr>
          <w:rFonts w:ascii="Arial" w:hAnsi="Arial"/>
          <w:b w:val="0"/>
          <w:i/>
          <w:sz w:val="28"/>
        </w:rPr>
        <w:t>«se suspenderá y se reanudará a partir del día hábil inmediato siguiente a aquel en el que el interesado conteste»</w:t>
      </w:r>
      <w:r>
        <w:rPr>
          <w:rFonts w:ascii="Arial" w:hAnsi="Arial"/>
          <w:b w:val="0"/>
          <w:i w:val="0"/>
          <w:sz w:val="28"/>
        </w:rPr>
        <w:t>.</w:t>
      </w:r>
    </w:p>
    <w:p>
      <w:pPr>
        <w:spacing w:line="360" w:lineRule="auto"/>
        <w:jc w:val="both"/>
      </w:pPr>
      <w:r>
        <w:rPr>
          <w:rFonts w:ascii="Arial" w:hAnsi="Arial"/>
          <w:b w:val="0"/>
          <w:i w:val="0"/>
          <w:sz w:val="28"/>
        </w:rPr>
        <w:t>La autoridad sostiene, en el mismo acto, que la parte actora no contestó el requerimiento, motivo por el cual tuvo por no presentada su aclaración, y que la suspensión se levantó al vencer la prórroga. Si nadie contestó, la suspensión de ese artículo jamás habría cesado; si cesó, fue porque hubo contestación, y entonces la aclaración no podía tenerse por no presentada. La autoridad no puede quedarse con las dos mitades incompatibles de su propio argumento.</w:t>
      </w:r>
    </w:p>
    <w:p>
      <w:pPr>
        <w:spacing w:line="360" w:lineRule="auto"/>
        <w:jc w:val="both"/>
      </w:pPr>
      <w:r>
        <w:rPr>
          <w:rFonts w:ascii="Arial" w:hAnsi="Arial"/>
          <w:b w:val="0"/>
          <w:i w:val="0"/>
          <w:sz w:val="28"/>
        </w:rPr>
        <w:t xml:space="preserve">Además, la supuesta espera carece de objeto. El plazo de cuarenta días hábiles de la parte actora corrió, sin suspensión alguna, a partir de que surtió efectos la notificación de la restricción y venció el </w:t>
      </w:r>
      <w:r>
        <w:rPr>
          <w:rFonts w:ascii="Arial" w:hAnsi="Arial"/>
          <w:b/>
          <w:i w:val="0"/>
          <w:sz w:val="28"/>
        </w:rPr>
        <w:t>[FECHA DE VENCIMIENTO DEL PLAZO DE CUARENTA DÍAS HÁBILES]</w:t>
      </w:r>
      <w:r>
        <w:rPr>
          <w:rFonts w:ascii="Arial" w:hAnsi="Arial"/>
          <w:b w:val="0"/>
          <w:i w:val="0"/>
          <w:sz w:val="28"/>
        </w:rPr>
        <w:t xml:space="preserve">, de modo que, al emitirse el oficio </w:t>
      </w:r>
      <w:r>
        <w:rPr>
          <w:rFonts w:ascii="Arial" w:hAnsi="Arial"/>
          <w:b/>
          <w:i w:val="0"/>
          <w:sz w:val="28"/>
        </w:rPr>
        <w:t>[NÚMERO DE OFICIO QUE TUVO POR NO PRESENTADA LA ACLARACIÓN]</w:t>
      </w:r>
      <w:r>
        <w:rPr>
          <w:rFonts w:ascii="Arial" w:hAnsi="Arial"/>
          <w:b w:val="0"/>
          <w:i w:val="0"/>
          <w:sz w:val="28"/>
        </w:rPr>
        <w:t>, no quedaba plazo pendiente de transcurrir. No había nada que esperar: la autoridad debía resolver ambas cuestiones dentro de sus diez días hábiles y, a lo sumo, dejar a salvo el derecho a una nueva aclaración si ese plazo aún corriera, lo que no ocurría.</w:t>
      </w:r>
    </w:p>
    <w:p>
      <w:pPr>
        <w:spacing w:line="360" w:lineRule="auto"/>
        <w:jc w:val="both"/>
      </w:pPr>
      <w:r>
        <w:rPr>
          <w:rFonts w:ascii="Arial" w:hAnsi="Arial"/>
          <w:b w:val="0"/>
          <w:i w:val="0"/>
          <w:sz w:val="28"/>
        </w:rPr>
        <w:t>Subsidiariamente, y aun si se admitiera que la autoridad podía aguardar el agotamiento de los cuarenta días, el vicio subsistiría, porque toda pausa en el cómputo debía fundarse en una norma que expresamente la previera y comunicarse a la contribuyente con su fundamento, su periodo y los días restantes; nada de ello se hizo en ninguna de las determinaciones previas. Con esa omisión la autoridad privó a la parte actora de la posibilidad de conocer su situación y de ejercer, en su caso, el derecho a una nueva aclaración, con lo que la afectación a sus defensas queda acreditada bajo cualquiera de las dos vías.</w:t>
      </w:r>
    </w:p>
    <w:p>
      <w:pPr>
        <w:spacing w:line="360" w:lineRule="auto"/>
        <w:jc w:val="both"/>
      </w:pPr>
      <w:r>
        <w:rPr>
          <w:rFonts w:ascii="Arial" w:hAnsi="Arial"/>
          <w:b w:val="0"/>
          <w:i w:val="0"/>
          <w:sz w:val="28"/>
        </w:rPr>
        <w:t>La consecuencia sistémica de aceptar la postura de la autoridad revela el error: si tener por no presentada una aclaración bastara para abrir un plazo de espera indeterminado, y si una ley ajena al procedimiento pudiera suspender los términos del Código a conveniencia, el plazo de diez días dejaría de ser una carga para la autoridad y sería una variable a su disposición. La contribuyente quedaría sin poder facturar durante un lapso que sólo la administración controla, con un daño de imposible reparación, resultado incompatible con la seguridad jurídica que el legislador quiso garantizar con plazos máximos.</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En suma: el artículo 17-H Bis, párrafo quinto, del Código y los párrafos séptimo y octavo de la regla 2.2.15 sujetan a un mismo plazo de diez días hábiles, contado desde el día siguiente al vencimiento del requerimiento o de su prórroga, tanto la respuesta que tiene por no presentada la aclaración como la resolución que deja sin efectos el certificado; la resolución impugnada se emitió y notificó después de ese plazo; y ninguna suspensión, ni la del artículo 17-A de la Ley Federal de Procedimiento Administrativo ni otra, estaba prevista, fundada ni comunicada. El acto proviene de una potestad temporalmente agotada.</w:t>
      </w:r>
    </w:p>
    <w:p>
      <w:pPr>
        <w:spacing w:line="360" w:lineRule="auto"/>
        <w:jc w:val="both"/>
      </w:pPr>
      <w:r>
        <w:rPr>
          <w:rFonts w:ascii="Arial" w:hAnsi="Arial"/>
          <w:b w:val="0"/>
          <w:i w:val="0"/>
          <w:sz w:val="28"/>
        </w:rPr>
        <w:t>Por lo expuesto, procede declarar fundado el presente concepto de impugnación y decretar la nulidad de la resolución impugnada, con fundamento en los artículos 51, fracción II, y 52, fracción IV, de la Ley Federal de Procedimiento Contencioso Administrativo, con la precisión expresa de que, al no haberse emitido en el plazo legal la resolución que culmina el procedimiento del artículo 17-H Bis, la autoridad ya no puede emitir una nueva en ese procedimiento iniciado de oficio y las cosas deben permanecer en el estado que guardaban con anterioridad.</w:t>
      </w:r>
    </w:p>
    <w:p>
      <w:pPr>
        <w:spacing w:line="360" w:lineRule="auto"/>
        <w:jc w:val="both"/>
      </w:pPr>
      <w:r>
        <w:rPr>
          <w:rFonts w:ascii="Arial" w:hAnsi="Arial"/>
          <w:b w:val="0"/>
          <w:i w:val="0"/>
          <w:sz w:val="28"/>
        </w:rPr>
        <w:t xml:space="preserve">En consecuencia, debe quedar restablecido y habilitado el certificado de sello digital de la parte actora </w:t>
      </w:r>
      <w:r>
        <w:rPr>
          <w:rFonts w:ascii="Arial" w:hAnsi="Arial"/>
          <w:b/>
          <w:i w:val="0"/>
          <w:sz w:val="28"/>
        </w:rPr>
        <w:t>[PRECISIÓN SOBRE EL RESTABLECIMIENTO ORDENADO EN MEDIDAS CAUTELARES, SI LO HUBO]</w:t>
      </w:r>
      <w:r>
        <w:rPr>
          <w:rFonts w:ascii="Arial" w:hAnsi="Arial"/>
          <w:b w:val="0"/>
          <w:i w:val="0"/>
          <w:sz w:val="28"/>
        </w:rPr>
        <w:t>. Se solicita el estudio preferente de este concepto, pues su acogimiento hace innecesario el examen de los restantes y otorga a la parte actora el mayor beneficio jurídico posible.</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189.</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1143.</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FERRER MAC-GREGOR, op. cit.</w:t>
      </w:r>
      <w:r>
        <w:rPr>
          <w:rFonts w:ascii="Arial" w:hAnsi="Arial"/>
          <w:i w:val="0"/>
          <w:sz w:val="20"/>
        </w:rPr>
        <w:t>, p. 1872.</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DEHESA DÁVILA, Gerardo, </w:t>
      </w:r>
      <w:r>
        <w:rPr>
          <w:rFonts w:ascii="Arial" w:hAnsi="Arial"/>
          <w:i/>
          <w:sz w:val="20"/>
        </w:rPr>
        <w:t>Introducción a la retórica y la argumentación. Elementos de retórica y argumentación para perfeccionar y optimizar el ejercicio de la función jurisdiccional</w:t>
      </w:r>
      <w:r>
        <w:rPr>
          <w:rFonts w:ascii="Arial" w:hAnsi="Arial"/>
          <w:i w:val="0"/>
          <w:sz w:val="20"/>
        </w:rPr>
        <w:t>, 6ª ed., Suprema Corte de Justicia de la Nación, Dirección General de la Coordinación de Compilación y Sistematización de Tesis, México, 2010, p. 601.</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40.</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GARCÍA DAMBORENEA, op. cit.</w:t>
      </w:r>
      <w:r>
        <w:rPr>
          <w:rFonts w:ascii="Arial" w:hAnsi="Arial"/>
          <w:i w:val="0"/>
          <w:sz w:val="20"/>
        </w:rPr>
        <w:t>, p. 73.</w:t>
      </w:r>
    </w:p>
    <w:p/>
    <w:p>
      <w:r>
        <w:rPr>
          <w:rFonts w:ascii="Arial" w:hAnsi="Arial"/>
          <w:b/>
          <w:sz w:val="22"/>
        </w:rPr>
        <w:t>BIBLIOGRAFÍA</w:t>
      </w:r>
    </w:p>
    <w:p>
      <w:pPr>
        <w:spacing w:after="60"/>
        <w:ind w:left="360" w:hanging="360"/>
        <w:jc w:val="both"/>
      </w:pPr>
      <w:r>
        <w:rPr>
          <w:rFonts w:ascii="Arial" w:hAnsi="Arial"/>
          <w:i w:val="0"/>
          <w:sz w:val="20"/>
        </w:rPr>
        <w:t xml:space="preserve">DEHESA DÁVILA, Gerardo, </w:t>
      </w:r>
      <w:r>
        <w:rPr>
          <w:rFonts w:ascii="Arial" w:hAnsi="Arial"/>
          <w:i/>
          <w:sz w:val="20"/>
        </w:rPr>
        <w:t>Introducción a la retórica y la argumentación. Elementos de retórica y argumentación para perfeccionar y optimizar el ejercicio de la función jurisdiccional</w:t>
      </w:r>
      <w:r>
        <w:rPr>
          <w:rFonts w:ascii="Arial" w:hAnsi="Arial"/>
          <w:i w:val="0"/>
          <w:sz w:val="20"/>
        </w:rPr>
        <w:t>, 6ª ed., Suprema Corte de Justicia de la Nación, Dirección General de la Coordinación de Compilación y Sistematización de Tesis, México, 2010.</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