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NEGATIVA FICTA DEL ISSSTE: INCREMENTOS DE LA PENSIÓN Y DIFERENCIAS DE AGUINALDO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Primero presenta y conserva con sello de recepción la petición al ISSSTE en la que pidas, de forma expresa, el ajuste de la cuota diaria y del aguinaldo con el pago de diferencias: sin respuesta dentro del plazo del artículo 17 de la Ley Federal de Procedimiento Administrativo se configura la negativa ficta, y la fecha de esa petición marca hasta dónde llegan las diferencias no prescritas. Si antes de demandar el Instituto te notifica una respuesta expresa, impúgnala a ella dentro de los treinta días que fija el artículo 13, fracción I, de la Ley Federal de Procedimiento Contencioso Administrativo en la vía ordinaria; en la sumaria el plazo es el mismo, conforme al artículo 58-2, párrafo tercero.</w:t>
      </w:r>
    </w:p>
    <w:p>
      <w:pPr>
        <w:spacing w:line="360" w:lineRule="auto"/>
        <w:jc w:val="both"/>
      </w:pPr>
      <w:r>
        <w:rPr>
          <w:rFonts w:ascii="Arial" w:hAnsi="Arial"/>
          <w:b w:val="0"/>
          <w:i w:val="0"/>
          <w:sz w:val="24"/>
        </w:rPr>
        <w:t>Después verifica con la concesión de pensión qué ley y qué régimen rigen el caso y coteja contra el texto oficial el artículo 57 que vas a citar: la sentencia que inspira el machote transcribió dos textos distintos como artículo 57 y no explicó el régimen aplicable. Llena los campos, solicita al Instituto por escrito la hoja única de servicios, la constancia de percepciones y deducciones y la constancia de evolución salarial de la plaza, y acompaña copia de esa solicitud para pedir el requerimiento del artículo 15 de la ley procesal. Prepara un cálculo propio, año por año, de la cuota y del aguinaldo, y reserva la ampliación de demanda (artículo 17, fracción I) para combatir lo que el Instituto alegue al contestar; la refutación del apartado IV puede trasladarse a ese escrito. Antes de demandar, revisa si la pensión se acerca al tope de diez veces la UMA.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[NOMBRE DE LA PARTE ACTORA]</w:t>
      </w:r>
      <w:r>
        <w:rPr>
          <w:rFonts w:ascii="Arial" w:hAnsi="Arial"/>
          <w:b w:val="0"/>
          <w:i w:val="0"/>
          <w:sz w:val="24"/>
        </w:rPr>
        <w:t>: nombre completo de la persona pensionada que demanda.</w:t>
      </w:r>
    </w:p>
    <w:p>
      <w:pPr>
        <w:spacing w:line="360" w:lineRule="auto"/>
        <w:jc w:val="both"/>
      </w:pPr>
      <w:r>
        <w:rPr>
          <w:rFonts w:ascii="Arial" w:hAnsi="Arial"/>
          <w:b/>
          <w:i w:val="0"/>
          <w:sz w:val="24"/>
        </w:rPr>
        <w:t>[AUTORIDAD DEMANDADA]</w:t>
      </w:r>
      <w:r>
        <w:rPr>
          <w:rFonts w:ascii="Arial" w:hAnsi="Arial"/>
          <w:b w:val="0"/>
          <w:i w:val="0"/>
          <w:sz w:val="24"/>
        </w:rPr>
        <w:t>: la unidad del ISSSTE ante la que se presentó la petición, con su denominación completa (en el caso que inspira el machote, la Dirección de Prestaciones Económicas, Sociales y Culturales).</w:t>
      </w:r>
    </w:p>
    <w:p>
      <w:pPr>
        <w:spacing w:line="360" w:lineRule="auto"/>
        <w:jc w:val="both"/>
      </w:pPr>
      <w:r>
        <w:rPr>
          <w:rFonts w:ascii="Arial" w:hAnsi="Arial"/>
          <w:b/>
          <w:i w:val="0"/>
          <w:sz w:val="24"/>
        </w:rPr>
        <w:t>[FECHA DE PRESENTACIÓN DE LA PETICIÓN]</w:t>
      </w:r>
      <w:r>
        <w:rPr>
          <w:rFonts w:ascii="Arial" w:hAnsi="Arial"/>
          <w:b w:val="0"/>
          <w:i w:val="0"/>
          <w:sz w:val="24"/>
        </w:rPr>
        <w:t>: la fecha del sello de recepción del escrito en que se pidió el ajuste; de ella depende el cómputo de las diferencias no prescritas.</w:t>
      </w:r>
    </w:p>
    <w:p>
      <w:pPr>
        <w:spacing w:line="360" w:lineRule="auto"/>
        <w:jc w:val="both"/>
      </w:pPr>
      <w:r>
        <w:rPr>
          <w:rFonts w:ascii="Arial" w:hAnsi="Arial"/>
          <w:b/>
          <w:i w:val="0"/>
          <w:sz w:val="24"/>
        </w:rPr>
        <w:t>[CLAVE DEL CONCEPTO DE AGUINALDO EN LOS COMPROBANTES DE PAGO]</w:t>
      </w:r>
      <w:r>
        <w:rPr>
          <w:rFonts w:ascii="Arial" w:hAnsi="Arial"/>
          <w:b w:val="0"/>
          <w:i w:val="0"/>
          <w:sz w:val="24"/>
        </w:rPr>
        <w:t>: la clave con que el aguinaldo aparece en los talones de la pensión (en el caso analizado, el concepto 04); cópiala del comprobante.</w:t>
      </w:r>
    </w:p>
    <w:p>
      <w:pPr>
        <w:spacing w:line="360" w:lineRule="auto"/>
        <w:jc w:val="both"/>
      </w:pPr>
      <w:r>
        <w:rPr>
          <w:rFonts w:ascii="Arial" w:hAnsi="Arial"/>
          <w:b/>
          <w:i w:val="0"/>
          <w:sz w:val="24"/>
        </w:rPr>
        <w:t>[ORDENAMIENTO Y RÉGIMEN QUE RIGEN LA PENSIÓN]</w:t>
      </w:r>
      <w:r>
        <w:rPr>
          <w:rFonts w:ascii="Arial" w:hAnsi="Arial"/>
          <w:b w:val="0"/>
          <w:i w:val="0"/>
          <w:sz w:val="24"/>
        </w:rPr>
        <w:t>: la ley del ISSSTE y el régimen aplicables según la fecha y el documento de concesión; cotéjalo antes de citar el artículo 57.</w:t>
      </w:r>
    </w:p>
    <w:p>
      <w:pPr>
        <w:spacing w:line="360" w:lineRule="auto"/>
        <w:jc w:val="both"/>
      </w:pPr>
      <w:r>
        <w:rPr>
          <w:rFonts w:ascii="Arial" w:hAnsi="Arial"/>
          <w:b/>
          <w:i w:val="0"/>
          <w:sz w:val="24"/>
        </w:rPr>
        <w:t>[TIPO DE PENSIÓN]</w:t>
      </w:r>
      <w:r>
        <w:rPr>
          <w:rFonts w:ascii="Arial" w:hAnsi="Arial"/>
          <w:b w:val="0"/>
          <w:i w:val="0"/>
          <w:sz w:val="24"/>
        </w:rPr>
        <w:t>: jubilación, retiro por edad y tiempo de servicios, cesantía en edad avanzada u otra, como diga la concesión.</w:t>
      </w:r>
    </w:p>
    <w:p>
      <w:pPr>
        <w:spacing w:line="360" w:lineRule="auto"/>
        <w:jc w:val="both"/>
      </w:pPr>
      <w:r>
        <w:rPr>
          <w:rFonts w:ascii="Arial" w:hAnsi="Arial"/>
          <w:b/>
          <w:i w:val="0"/>
          <w:sz w:val="24"/>
        </w:rPr>
        <w:t>[FECHA DE INICIO DE LA PENSIÓN]</w:t>
      </w:r>
      <w:r>
        <w:rPr>
          <w:rFonts w:ascii="Arial" w:hAnsi="Arial"/>
          <w:b w:val="0"/>
          <w:i w:val="0"/>
          <w:sz w:val="24"/>
        </w:rPr>
        <w:t>: la fecha a partir de la cual se otorgó la pensión, según la concesión.</w:t>
      </w:r>
    </w:p>
    <w:p>
      <w:pPr>
        <w:spacing w:line="360" w:lineRule="auto"/>
        <w:jc w:val="both"/>
      </w:pPr>
      <w:r>
        <w:rPr>
          <w:rFonts w:ascii="Arial" w:hAnsi="Arial"/>
          <w:b/>
          <w:i w:val="0"/>
          <w:sz w:val="24"/>
        </w:rPr>
        <w:t>[NÚMERO Y FECHA DEL DOCUMENTO DE CONCESIÓN DE PENSIÓN]</w:t>
      </w:r>
      <w:r>
        <w:rPr>
          <w:rFonts w:ascii="Arial" w:hAnsi="Arial"/>
          <w:b w:val="0"/>
          <w:i w:val="0"/>
          <w:sz w:val="24"/>
        </w:rPr>
        <w:t>: los datos de identificación de la concesión de pensión que se exhibe como prueba.</w:t>
      </w:r>
    </w:p>
    <w:p>
      <w:pPr>
        <w:spacing w:line="360" w:lineRule="auto"/>
        <w:jc w:val="both"/>
      </w:pPr>
      <w:r>
        <w:rPr>
          <w:rFonts w:ascii="Arial" w:hAnsi="Arial"/>
          <w:b/>
          <w:i w:val="0"/>
          <w:sz w:val="24"/>
        </w:rPr>
        <w:t>[ÚLTIMO PUESTO Y DEPENDENCIA DE ADSCRIPCIÓN]</w:t>
      </w:r>
      <w:r>
        <w:rPr>
          <w:rFonts w:ascii="Arial" w:hAnsi="Arial"/>
          <w:b w:val="0"/>
          <w:i w:val="0"/>
          <w:sz w:val="24"/>
        </w:rPr>
        <w:t>: el último puesto que desempeñó en activo y la dependencia, tal como constan en la hoja única de servicios.</w:t>
      </w:r>
    </w:p>
    <w:p>
      <w:pPr>
        <w:spacing w:line="360" w:lineRule="auto"/>
        <w:jc w:val="both"/>
      </w:pPr>
      <w:r>
        <w:rPr>
          <w:rFonts w:ascii="Arial" w:hAnsi="Arial"/>
          <w:b/>
          <w:i w:val="0"/>
          <w:sz w:val="24"/>
        </w:rPr>
        <w:t>[PRIMER EJERCICIO CON DERECHO A INCREMENTO]</w:t>
      </w:r>
      <w:r>
        <w:rPr>
          <w:rFonts w:ascii="Arial" w:hAnsi="Arial"/>
          <w:b w:val="0"/>
          <w:i w:val="0"/>
          <w:sz w:val="24"/>
        </w:rPr>
        <w:t>: el año siguiente al inicio de la pensión, porque los incrementos operan cada 1 de enero.</w:t>
      </w:r>
    </w:p>
    <w:p/>
    <w:p>
      <w:pPr>
        <w:spacing w:line="360" w:lineRule="auto"/>
        <w:jc w:val="both"/>
      </w:pPr>
      <w:r>
        <w:rPr>
          <w:rFonts w:ascii="Arial" w:hAnsi="Arial"/>
          <w:b/>
          <w:sz w:val="28"/>
        </w:rPr>
        <w:t>[NÚMERO ORDINAL DEL CONCEPTO] CONCEPTO DE IMPUGNACIÓN. Negativa ficta del Instituto de Seguridad y Servicios Sociales de los Trabajadores del Estado a ajustar la cuota diaria de la pensión y el aguinaldo. El organismo omitió los incrementos de mayor beneficio del artículo 57 de su ley y, como el aguinaldo se calcula sobre la cuota diaria, la omisión se reproduce cada año en la gratificación; ante la negativa lisa y llana de la parte actora, la carga de probar lo contrario es de la autoridad y se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negativa ficta recaída al escrito que </w:t>
      </w:r>
      <w:r>
        <w:rPr>
          <w:rFonts w:ascii="Arial" w:hAnsi="Arial"/>
          <w:b/>
          <w:i w:val="0"/>
          <w:sz w:val="28"/>
        </w:rPr>
        <w:t>[NOMBRE DE LA PARTE ACTORA]</w:t>
      </w:r>
      <w:r>
        <w:rPr>
          <w:rFonts w:ascii="Arial" w:hAnsi="Arial"/>
          <w:b w:val="0"/>
          <w:i w:val="0"/>
          <w:sz w:val="28"/>
        </w:rPr>
        <w:t xml:space="preserve"> presentó el </w:t>
      </w:r>
      <w:r>
        <w:rPr>
          <w:rFonts w:ascii="Arial" w:hAnsi="Arial"/>
          <w:b/>
          <w:i w:val="0"/>
          <w:sz w:val="28"/>
        </w:rPr>
        <w:t>[FECHA DE PRESENTACIÓN DE LA PETICIÓN]</w:t>
      </w:r>
      <w:r>
        <w:rPr>
          <w:rFonts w:ascii="Arial" w:hAnsi="Arial"/>
          <w:b w:val="0"/>
          <w:i w:val="0"/>
          <w:sz w:val="28"/>
        </w:rPr>
        <w:t xml:space="preserve"> ante la </w:t>
      </w:r>
      <w:r>
        <w:rPr>
          <w:rFonts w:ascii="Arial" w:hAnsi="Arial"/>
          <w:b/>
          <w:i w:val="0"/>
          <w:sz w:val="28"/>
        </w:rPr>
        <w:t>[AUTORIDAD DEMANDADA]</w:t>
      </w:r>
      <w:r>
        <w:rPr>
          <w:rFonts w:ascii="Arial" w:hAnsi="Arial"/>
          <w:b w:val="0"/>
          <w:i w:val="0"/>
          <w:sz w:val="28"/>
        </w:rPr>
        <w:t xml:space="preserve">, en el que solicitó el ajuste e incremento de la cuota diaria de su pensión y del concepto </w:t>
      </w:r>
      <w:r>
        <w:rPr>
          <w:rFonts w:ascii="Arial" w:hAnsi="Arial"/>
          <w:b/>
          <w:i w:val="0"/>
          <w:sz w:val="28"/>
        </w:rPr>
        <w:t>[CLAVE DEL CONCEPTO DE AGUINALDO EN LOS COMPROBANTES DE PAGO]</w:t>
      </w:r>
      <w:r>
        <w:rPr>
          <w:rFonts w:ascii="Arial" w:hAnsi="Arial"/>
          <w:b w:val="0"/>
          <w:i w:val="0"/>
          <w:sz w:val="28"/>
        </w:rPr>
        <w:t xml:space="preserve"> (aguinaldo), así como el pago de las diferencias resultantes, es ilegal en sus dos vertientes: la mensual y la anual.</w:t>
      </w:r>
    </w:p>
    <w:p>
      <w:pPr>
        <w:spacing w:line="360" w:lineRule="auto"/>
        <w:jc w:val="both"/>
      </w:pPr>
      <w:r>
        <w:rPr>
          <w:rFonts w:ascii="Arial" w:hAnsi="Arial"/>
          <w:b w:val="0"/>
          <w:i w:val="0"/>
          <w:sz w:val="28"/>
        </w:rPr>
        <w:t>La demostración descansa en una relación aritmética que el Instituto no puede eludir. La gratificación anual de las personas pensionadas se cuantifica multiplicando el número de días que se concede a los trabajadores en activo por la cuota diaria de la pensión; si esa cuota no recibió cada enero el incremento de mayor beneficio que manda la ley, el aguinaldo de cada ejercicio se pagó sobre una base disminuida y arrastra el mismo defecto.</w:t>
      </w:r>
    </w:p>
    <w:p>
      <w:pPr>
        <w:spacing w:line="360" w:lineRule="auto"/>
        <w:jc w:val="both"/>
      </w:pPr>
      <w:r>
        <w:rPr>
          <w:rFonts w:ascii="Arial" w:hAnsi="Arial"/>
          <w:b w:val="0"/>
          <w:i w:val="0"/>
          <w:sz w:val="28"/>
        </w:rPr>
        <w:t>Como la parte actora niega lisa y llanamente que ambos conceptos se hayan calculado conforme a derecho, corresponde a la autoridad demostrar lo contrario con las constancias que sólo ella conserva. Si no lo hace, procede declarar la nulidad de la negativa ficta, reconocer el derecho subjetivo de la parte actora y condenar al organismo a reaplicar los incrementos y a pagar las diferencias de la cuota diaria y de la gratificación anual, en términos del artículo 52, fracción V, inciso a), de la Ley Federal de Procedimiento Contencioso Administrativo.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resolución negativa ficta que se configuró porque la </w:t>
      </w:r>
      <w:r>
        <w:rPr>
          <w:rFonts w:ascii="Arial" w:hAnsi="Arial"/>
          <w:b/>
          <w:i w:val="0"/>
          <w:sz w:val="28"/>
        </w:rPr>
        <w:t>[AUTORIDAD DEMANDADA]</w:t>
      </w:r>
      <w:r>
        <w:rPr>
          <w:rFonts w:ascii="Arial" w:hAnsi="Arial"/>
          <w:b w:val="0"/>
          <w:i w:val="0"/>
          <w:sz w:val="28"/>
        </w:rPr>
        <w:t xml:space="preserve"> no resolvió ni notificó respuesta expresa a la petición presentada el </w:t>
      </w:r>
      <w:r>
        <w:rPr>
          <w:rFonts w:ascii="Arial" w:hAnsi="Arial"/>
          <w:b/>
          <w:i w:val="0"/>
          <w:sz w:val="28"/>
        </w:rPr>
        <w:t>[FECHA DE PRESENTACIÓN DE LA PETICIÓN]</w:t>
      </w:r>
      <w:r>
        <w:rPr>
          <w:rFonts w:ascii="Arial" w:hAnsi="Arial"/>
          <w:b w:val="0"/>
          <w:i w:val="0"/>
          <w:sz w:val="28"/>
        </w:rPr>
        <w:t xml:space="preserve"> dentro del plazo máximo que fija el artículo 17 de la Ley Federal de Procedimiento Administrativo, conforme al cual, transcurrido ese lapso, la instancia se entiende resuelta en sentido negativo. En cumplimiento del artículo 15, fracción IV, de la ley procesal de la materia, se acompaña copia de la petición con el sello de recepción.</w:t>
      </w:r>
    </w:p>
    <w:p>
      <w:pPr>
        <w:spacing w:line="360" w:lineRule="auto"/>
        <w:jc w:val="both"/>
      </w:pPr>
      <w:r>
        <w:rPr>
          <w:rFonts w:ascii="Arial" w:hAnsi="Arial"/>
          <w:b w:val="0"/>
          <w:i w:val="0"/>
          <w:sz w:val="28"/>
        </w:rPr>
        <w:t xml:space="preserve">Las normas cuya inobservancia se plantea son el artículo 123, apartado B, fracción XI, inciso a), de la Constitución Política de los Estados Unidos Mexicanos, que incluye la jubilación, la invalidez, la vejez y la muerte entre las bases mínimas de la seguridad social de quienes sirven al Estado; el artículo 57 de la Ley del Instituto de Seguridad y Servicios Sociales de los Trabajadores del Estado, en el texto que rige la pensión conforme a </w:t>
      </w:r>
      <w:r>
        <w:rPr>
          <w:rFonts w:ascii="Arial" w:hAnsi="Arial"/>
          <w:b/>
          <w:i w:val="0"/>
          <w:sz w:val="28"/>
        </w:rPr>
        <w:t>[ORDENAMIENTO Y RÉGIMEN QUE RIGEN LA PENSIÓN]</w:t>
      </w:r>
      <w:r>
        <w:rPr>
          <w:rFonts w:ascii="Arial" w:hAnsi="Arial"/>
          <w:b w:val="0"/>
          <w:i w:val="0"/>
          <w:sz w:val="28"/>
        </w:rPr>
        <w:t>, que regula el incremento de la cuantía y la gratificación anual; y el artículo 42 de la ley adjetiva, sobre la carga probatoria.</w:t>
      </w:r>
    </w:p>
    <w:p>
      <w:pPr>
        <w:spacing w:line="360" w:lineRule="auto"/>
        <w:jc w:val="both"/>
      </w:pPr>
      <w:r>
        <w:rPr>
          <w:rFonts w:ascii="Arial" w:hAnsi="Arial"/>
          <w:b w:val="0"/>
          <w:i w:val="0"/>
          <w:sz w:val="28"/>
        </w:rPr>
        <w:t xml:space="preserve">La pensión de </w:t>
      </w:r>
      <w:r>
        <w:rPr>
          <w:rFonts w:ascii="Arial" w:hAnsi="Arial"/>
          <w:b/>
          <w:i w:val="0"/>
          <w:sz w:val="28"/>
        </w:rPr>
        <w:t>[TIPO DE PENSIÓN]</w:t>
      </w:r>
      <w:r>
        <w:rPr>
          <w:rFonts w:ascii="Arial" w:hAnsi="Arial"/>
          <w:b w:val="0"/>
          <w:i w:val="0"/>
          <w:sz w:val="28"/>
        </w:rPr>
        <w:t xml:space="preserve"> se otorgó a partir del </w:t>
      </w:r>
      <w:r>
        <w:rPr>
          <w:rFonts w:ascii="Arial" w:hAnsi="Arial"/>
          <w:b/>
          <w:i w:val="0"/>
          <w:sz w:val="28"/>
        </w:rPr>
        <w:t>[FECHA DE INICIO DE LA PENSIÓN]</w:t>
      </w:r>
      <w:r>
        <w:rPr>
          <w:rFonts w:ascii="Arial" w:hAnsi="Arial"/>
          <w:b w:val="0"/>
          <w:i w:val="0"/>
          <w:sz w:val="28"/>
        </w:rPr>
        <w:t xml:space="preserve">, según consta en </w:t>
      </w:r>
      <w:r>
        <w:rPr>
          <w:rFonts w:ascii="Arial" w:hAnsi="Arial"/>
          <w:b/>
          <w:i w:val="0"/>
          <w:sz w:val="28"/>
        </w:rPr>
        <w:t>[NÚMERO Y FECHA DEL DOCUMENTO DE CONCESIÓN DE PENSIÓN]</w:t>
      </w:r>
      <w:r>
        <w:rPr>
          <w:rFonts w:ascii="Arial" w:hAnsi="Arial"/>
          <w:b w:val="0"/>
          <w:i w:val="0"/>
          <w:sz w:val="28"/>
        </w:rPr>
        <w:t xml:space="preserve">, y la última plaza que la parte actora desempeñó en activo fue la de </w:t>
      </w:r>
      <w:r>
        <w:rPr>
          <w:rFonts w:ascii="Arial" w:hAnsi="Arial"/>
          <w:b/>
          <w:i w:val="0"/>
          <w:sz w:val="28"/>
        </w:rPr>
        <w:t>[ÚLTIMO PUESTO Y DEPENDENCIA DE ADSCRIPCIÓN]</w:t>
      </w:r>
      <w:r>
        <w:rPr>
          <w:rFonts w:ascii="Arial" w:hAnsi="Arial"/>
          <w:b w:val="0"/>
          <w:i w:val="0"/>
          <w:sz w:val="28"/>
        </w:rPr>
        <w:t>, dato que permite identificar los aumentos otorgados a los sueldos básicos de ese puesto y compararlos con la variación anual del Índice Nacional de Precios al Consumidor.</w:t>
      </w:r>
    </w:p>
    <w:p>
      <w:pPr>
        <w:spacing w:line="360" w:lineRule="auto"/>
        <w:jc w:val="both"/>
      </w:pPr>
      <w:r>
        <w:rPr>
          <w:rFonts w:ascii="Arial" w:hAnsi="Arial"/>
          <w:b w:val="0"/>
          <w:i w:val="0"/>
          <w:sz w:val="28"/>
        </w:rPr>
        <w:t>El perjuicio es doble y se renueva periódicamente: cada mes la parte actora recibe una cuota diaria inferior a la debida y cada año percibe una gratificación calculada sobre esa cuota disminuida. La omisión se proyecta, así, sobre dos prestaciones distintas que la petición reclamó de manera expresa y que esta demanda incluye, también expresamente, en la pretensión.</w:t>
      </w:r>
    </w:p>
    <w:p>
      <w:pPr>
        <w:spacing w:line="360" w:lineRule="auto"/>
        <w:jc w:val="both"/>
      </w:pPr>
      <w:r>
        <w:rPr>
          <w:rFonts w:ascii="Arial" w:hAnsi="Arial"/>
          <w:b w:val="0"/>
          <w:i w:val="0"/>
          <w:sz w:val="28"/>
        </w:rPr>
        <w:t>La precisión importa, porque el artículo 50 de la Ley Federal de Procedimiento Contencioso Administrativo obliga a la Sala a resolver sobre la pretensión que se deduzca de la demanda en relación con la resolución impugnada. La gratificación anual sólo puede ser objeto de condena si forma parte de esa pretensión, y por ello se reclama aquí de forma autónoma, aunque su cálculo dependa de la cuota diaria.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pensión es la prestación con la que el sistema de seguridad social de las personas trabajadoras del Estado cubre uno de los riesgos que la Constitución le encomienda. La doctrina explica que el derecho a la seguridad social protege frente a acontecimientos ordinarios, como la salida del mercado de trabajo por vejez, y que su contenido comprende el mantenimiento de estándares de vida adecuados frente a esos riesgos.</w:t>
      </w:r>
      <w:r>
        <w:rPr>
          <w:rFonts w:ascii="Arial" w:hAnsi="Arial"/>
          <w:vertAlign w:val="superscript"/>
        </w:rPr>
        <w:t>1</w:t>
      </w:r>
      <w:r>
        <w:rPr>
          <w:rFonts w:ascii="Arial" w:hAnsi="Arial"/>
          <w:b w:val="0"/>
          <w:i w:val="0"/>
          <w:sz w:val="28"/>
        </w:rPr>
        <w:t xml:space="preserve"> Una cuantía que permanece congelada mientras los precios y los sueldos suben deja de cumplir esa función, pues pierde año con año la capacidad de sostener el nivel de vida que pretendía asegurar.</w:t>
      </w:r>
    </w:p>
    <w:p>
      <w:pPr>
        <w:spacing w:line="360" w:lineRule="auto"/>
        <w:jc w:val="both"/>
      </w:pPr>
      <w:r>
        <w:rPr>
          <w:rFonts w:ascii="Arial" w:hAnsi="Arial"/>
          <w:b w:val="0"/>
          <w:i w:val="0"/>
          <w:sz w:val="28"/>
        </w:rPr>
        <w:t xml:space="preserve">El legislador previó un mecanismo concreto para evitarlo. Según el texto del artículo 57 que aplicó una Sala Regional de este Tribunal al resolver un caso análogo, </w:t>
      </w:r>
      <w:r>
        <w:rPr>
          <w:rFonts w:ascii="Arial" w:hAnsi="Arial"/>
          <w:b w:val="0"/>
          <w:i/>
          <w:sz w:val="28"/>
        </w:rPr>
        <w:t>“La cuantía de las pensiones se aumentará anualmente conforme al incremento que en el año calendario anterior hubiese tenido el Índice Nacional de Precios al Consumidor, con efectos a partir del día primero del mes de enero de cada año.”</w:t>
      </w:r>
      <w:r>
        <w:rPr>
          <w:rFonts w:ascii="Arial" w:hAnsi="Arial"/>
          <w:b w:val="0"/>
          <w:i w:val="0"/>
          <w:sz w:val="28"/>
        </w:rPr>
        <w:t xml:space="preserve"> Si ese indicador </w:t>
      </w:r>
      <w:r>
        <w:rPr>
          <w:rFonts w:ascii="Arial" w:hAnsi="Arial"/>
          <w:b w:val="0"/>
          <w:i/>
          <w:sz w:val="28"/>
        </w:rPr>
        <w:t>“resulte inferior a los aumentos otorgados a los sueldos básicos de los trabajadores en activo”</w:t>
      </w:r>
      <w:r>
        <w:rPr>
          <w:rFonts w:ascii="Arial" w:hAnsi="Arial"/>
          <w:b w:val="0"/>
          <w:i w:val="0"/>
          <w:sz w:val="28"/>
        </w:rPr>
        <w:t>, las cuantías deben crecer en la misma proporción que éstos.</w:t>
      </w:r>
    </w:p>
    <w:p>
      <w:pPr>
        <w:spacing w:line="360" w:lineRule="auto"/>
        <w:jc w:val="both"/>
      </w:pPr>
      <w:r>
        <w:rPr>
          <w:rFonts w:ascii="Arial" w:hAnsi="Arial"/>
          <w:b w:val="0"/>
          <w:i w:val="0"/>
          <w:sz w:val="28"/>
        </w:rPr>
        <w:t>De ahí se sigue una regla de mayor beneficio: cada enero el Instituto debe comparar dos magnitudes, la variación del índice en el año calendario anterior y los aumentos concedidos a los sueldos básicos del puesto que la persona pensionada ocupó en activo, y aplicar la más alta. El propio precepto sólo autoriza a usar el índice como criterio único cuando no sea posible identificar el puesto, supuesto excepcional que, como todo hecho que justifica apartarse de la regla general, debe acreditar quien lo invoca.</w:t>
      </w:r>
    </w:p>
    <w:p>
      <w:pPr>
        <w:spacing w:line="360" w:lineRule="auto"/>
        <w:jc w:val="both"/>
      </w:pPr>
      <w:r>
        <w:rPr>
          <w:rFonts w:ascii="Arial" w:hAnsi="Arial"/>
          <w:b w:val="0"/>
          <w:i w:val="0"/>
          <w:sz w:val="28"/>
        </w:rPr>
        <w:t xml:space="preserve">La gratificación anual depende directamente de esa cuota. El artículo 57, en la porción que esa Sala Regional transcribió como fundamento del aguinaldo, dispone que las personas pensionadas tendrán derecho a una </w:t>
      </w:r>
      <w:r>
        <w:rPr>
          <w:rFonts w:ascii="Arial" w:hAnsi="Arial"/>
          <w:b w:val="0"/>
          <w:i/>
          <w:sz w:val="28"/>
        </w:rPr>
        <w:t>“gratificación anual igual en número de días a la concedida a los trabajadores en activo, según la cuota diaria de su pensión”</w:t>
      </w:r>
      <w:r>
        <w:rPr>
          <w:rFonts w:ascii="Arial" w:hAnsi="Arial"/>
          <w:b w:val="0"/>
          <w:i w:val="0"/>
          <w:sz w:val="28"/>
        </w:rPr>
        <w:t>, conforme al decreto que anualmente expide el Ejecutivo Federal. La norma fija así dos factores: el número de días, que proviene del decreto, y la base, que es la cuota diaria.</w:t>
      </w:r>
    </w:p>
    <w:p>
      <w:pPr>
        <w:spacing w:line="360" w:lineRule="auto"/>
        <w:jc w:val="both"/>
      </w:pPr>
      <w:r>
        <w:rPr>
          <w:rFonts w:ascii="Arial" w:hAnsi="Arial"/>
          <w:b w:val="0"/>
          <w:i w:val="0"/>
          <w:sz w:val="28"/>
        </w:rPr>
        <w:t xml:space="preserve">La consecuencia es lógica antes que jurídica: si la base está mal calculada, el producto también lo está, aunque el número de días sea el correcto. Así lo razonó esa misma Sala Regional, cuyo criterio se invoca sólo de manera ilustrativa, al sostener que, </w:t>
      </w:r>
      <w:r>
        <w:rPr>
          <w:rFonts w:ascii="Arial" w:hAnsi="Arial"/>
          <w:b w:val="0"/>
          <w:i/>
          <w:sz w:val="28"/>
        </w:rPr>
        <w:t>“al aumentar la cuota diaria de pensión, los incrementos necesariamente se ven reflejados en la gratificación anual”</w:t>
      </w:r>
      <w:r>
        <w:rPr>
          <w:rFonts w:ascii="Arial" w:hAnsi="Arial"/>
          <w:b w:val="0"/>
          <w:i w:val="0"/>
          <w:sz w:val="28"/>
        </w:rPr>
        <w:t>, razón por la cual el pago de las diferencias de la cuota debe acompañarse del pago de las diferencias del aguinaldo de cada ejercicio no prescrito.</w:t>
      </w:r>
    </w:p>
    <w:p>
      <w:pPr>
        <w:spacing w:line="360" w:lineRule="auto"/>
        <w:jc w:val="both"/>
      </w:pPr>
      <w:r>
        <w:rPr>
          <w:rFonts w:ascii="Arial" w:hAnsi="Arial"/>
          <w:b w:val="0"/>
          <w:i w:val="0"/>
          <w:sz w:val="28"/>
        </w:rPr>
        <w:t xml:space="preserve">El segundo pilar es procesal. El artículo 42 de la Ley Federal de Procedimiento Contencioso Administrativo dispone: </w:t>
      </w:r>
      <w:r>
        <w:rPr>
          <w:rFonts w:ascii="Arial" w:hAnsi="Arial"/>
          <w:b w:val="0"/>
          <w:i/>
          <w:sz w:val="28"/>
        </w:rPr>
        <w:t>“Las resoluciones y actos administrativos se presumirán legales. Sin embargo, las autoridades deberán probar los hechos que los motiven cuando la persona afectada los niegue lisa y llanamente, a menos que la negativa implique la afirmación de otro hecho.”</w:t>
      </w:r>
      <w:r>
        <w:rPr>
          <w:rFonts w:ascii="Arial" w:hAnsi="Arial"/>
          <w:b w:val="0"/>
          <w:i w:val="0"/>
          <w:sz w:val="28"/>
        </w:rPr>
        <w:t xml:space="preserve"> Se trata de una presunción relativa, y la teoría de la prueba enseña que una presunción iuris tantum se derrota cuando se acredita que, pese a darse el hecho base, no ocurrió el hecho presumido.</w:t>
      </w:r>
      <w:r>
        <w:rPr>
          <w:rFonts w:ascii="Arial" w:hAnsi="Arial"/>
          <w:vertAlign w:val="superscript"/>
        </w:rPr>
        <w:t>2</w:t>
      </w:r>
    </w:p>
    <w:p>
      <w:pPr>
        <w:spacing w:line="360" w:lineRule="auto"/>
        <w:jc w:val="both"/>
      </w:pPr>
      <w:r>
        <w:rPr>
          <w:rFonts w:ascii="Arial" w:hAnsi="Arial"/>
          <w:b w:val="0"/>
          <w:i w:val="0"/>
          <w:sz w:val="28"/>
        </w:rPr>
        <w:t>El precepto indica, además, a quién toca esa prueba frente a una negativa lisa y llana, y la razón de la regla es conocida: quien argumenta a partir de negaciones no tiene el deber, por ser imposible, de demostrar hechos que nunca sucedieron, de modo que corresponde a su oponente acreditar que sí ocurrieron.</w:t>
      </w:r>
      <w:r>
        <w:rPr>
          <w:rFonts w:ascii="Arial" w:hAnsi="Arial"/>
          <w:vertAlign w:val="superscript"/>
        </w:rPr>
        <w:t>3</w:t>
      </w:r>
      <w:r>
        <w:rPr>
          <w:rFonts w:ascii="Arial" w:hAnsi="Arial"/>
          <w:b w:val="0"/>
          <w:i w:val="0"/>
          <w:sz w:val="28"/>
        </w:rPr>
        <w:t xml:space="preserve"> La parte actora no puede probar que cada enero se dejó de aplicar el incremento correcto; el Instituto, en cambio, sí puede demostrar qué porcentaje aplicó, con qué parámetro lo comparó y sobre qué base calculó la gratificación de cada año.</w:t>
      </w:r>
    </w:p>
    <w:p>
      <w:pPr>
        <w:spacing w:line="360" w:lineRule="auto"/>
        <w:jc w:val="both"/>
      </w:pPr>
      <w:r>
        <w:rPr>
          <w:rFonts w:ascii="Arial" w:hAnsi="Arial"/>
          <w:b w:val="0"/>
          <w:i w:val="0"/>
          <w:sz w:val="28"/>
        </w:rPr>
        <w:t>A ello se suma el principio de disponibilidad probatoria, según el cual las consecuencias de la falta de prueba deben recaer en la parte que, por su cercanía, vinculación o acceso a la fuente, se encontraba en mejores condiciones de aportarla.</w:t>
      </w:r>
      <w:r>
        <w:rPr>
          <w:rFonts w:ascii="Arial" w:hAnsi="Arial"/>
          <w:vertAlign w:val="superscript"/>
        </w:rPr>
        <w:t>4</w:t>
      </w:r>
      <w:r>
        <w:rPr>
          <w:rFonts w:ascii="Arial" w:hAnsi="Arial"/>
          <w:b w:val="0"/>
          <w:i w:val="0"/>
          <w:sz w:val="28"/>
        </w:rPr>
        <w:t xml:space="preserve"> El expediente de pensión, la hoja única de servicios, las constancias de percepciones y deducciones, la evolución salarial de la plaza y los registros de pago de cada gratificación anual obran en los archivos del organismo, y no en los de la persona pensionada.</w:t>
      </w:r>
    </w:p>
    <w:p>
      <w:pPr>
        <w:spacing w:line="360" w:lineRule="auto"/>
        <w:jc w:val="both"/>
      </w:pPr>
      <w:r>
        <w:rPr>
          <w:rFonts w:ascii="Arial" w:hAnsi="Arial"/>
          <w:b w:val="0"/>
          <w:i w:val="0"/>
          <w:sz w:val="28"/>
        </w:rPr>
        <w:t>En el juicio contra una negativa ficta, el artículo 22 de la ley procesal obliga a la autoridad a expresar en su contestación los hechos y el derecho en que se apoya la negativa, y el artículo 17, fracción I, del mismo ordenamiento concede a la parte actora el derecho de ampliar la demanda para controvertirlos. La motivación de la negativa nace, por tanto, en la contestación, y es ahí donde el Instituto debe exhibir la prueba de que calculó correctamente la cuota diaria y la gratificación anual; una defensa genérica no satisface esa exigencia.</w:t>
      </w:r>
    </w:p>
    <w:p>
      <w:pPr>
        <w:spacing w:line="360" w:lineRule="auto"/>
        <w:jc w:val="both"/>
      </w:pPr>
      <w:r>
        <w:rPr>
          <w:rFonts w:ascii="Arial" w:hAnsi="Arial"/>
          <w:b w:val="0"/>
          <w:i w:val="0"/>
          <w:sz w:val="28"/>
        </w:rPr>
        <w:t>Finalmente, el artículo 50 de la Ley Federal de Procedimiento Contencioso Administrativo exige que, en las sentencias que condenan a la restitución de un derecho subjetivo violado, el Tribunal constate previamente el derecho de la persona particular, además de la ilegalidad de la resolución impugnada, y el artículo 52, fracción V, inciso a), de esa ley lo faculta para reconocer la existencia del derecho y condenar al cumplimiento de la obligación correlativa. Los elementos para esa constatación están en este concepto: la fecha de la pensión, el puesto de referencia y la regla legal de cálculo de ambas prestaciones.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La pensión de la parte actora inició el </w:t>
      </w:r>
      <w:r>
        <w:rPr>
          <w:rFonts w:ascii="Arial" w:hAnsi="Arial"/>
          <w:b/>
          <w:i w:val="0"/>
          <w:sz w:val="28"/>
        </w:rPr>
        <w:t>[FECHA DE INICIO DE LA PENSIÓN]</w:t>
      </w:r>
      <w:r>
        <w:rPr>
          <w:rFonts w:ascii="Arial" w:hAnsi="Arial"/>
          <w:b w:val="0"/>
          <w:i w:val="0"/>
          <w:sz w:val="28"/>
        </w:rPr>
        <w:t xml:space="preserve">, por lo que el primer incremento anual exigible es el que debió aplicarse el 1 de enero de </w:t>
      </w:r>
      <w:r>
        <w:rPr>
          <w:rFonts w:ascii="Arial" w:hAnsi="Arial"/>
          <w:b/>
          <w:i w:val="0"/>
          <w:sz w:val="28"/>
        </w:rPr>
        <w:t>[PRIMER EJERCICIO CON DERECHO A INCREMENTO]</w:t>
      </w:r>
      <w:r>
        <w:rPr>
          <w:rFonts w:ascii="Arial" w:hAnsi="Arial"/>
          <w:b w:val="0"/>
          <w:i w:val="0"/>
          <w:sz w:val="28"/>
        </w:rPr>
        <w:t xml:space="preserve">, pues el mecanismo legal opera cada enero y no en el momento del otorgamiento. Desde esa fecha, cada ejercicio exigía comparar la variación del índice con los aumentos a los sueldos básicos de </w:t>
      </w:r>
      <w:r>
        <w:rPr>
          <w:rFonts w:ascii="Arial" w:hAnsi="Arial"/>
          <w:b/>
          <w:i w:val="0"/>
          <w:sz w:val="28"/>
        </w:rPr>
        <w:t>[ÚLTIMO PUESTO Y DEPENDENCIA DE ADSCRIPCIÓN]</w:t>
      </w:r>
      <w:r>
        <w:rPr>
          <w:rFonts w:ascii="Arial" w:hAnsi="Arial"/>
          <w:b w:val="0"/>
          <w:i w:val="0"/>
          <w:sz w:val="28"/>
        </w:rPr>
        <w:t xml:space="preserve"> y aplicar el mayor.</w:t>
      </w:r>
    </w:p>
    <w:p>
      <w:pPr>
        <w:spacing w:line="360" w:lineRule="auto"/>
        <w:jc w:val="both"/>
      </w:pPr>
      <w:r>
        <w:rPr>
          <w:rFonts w:ascii="Arial" w:hAnsi="Arial"/>
          <w:b w:val="0"/>
          <w:i w:val="0"/>
          <w:sz w:val="28"/>
        </w:rPr>
        <w:t xml:space="preserve">La parte actora niega lisa y llanamente dos hechos: que su cuota diaria se haya incrementado cada año conforme al parámetro de mayor beneficio y que la gratificación anual identificada con la clave </w:t>
      </w:r>
      <w:r>
        <w:rPr>
          <w:rFonts w:ascii="Arial" w:hAnsi="Arial"/>
          <w:b/>
          <w:i w:val="0"/>
          <w:sz w:val="28"/>
        </w:rPr>
        <w:t>[CLAVE DEL CONCEPTO DE AGUINALDO EN LOS COMPROBANTES DE PAGO]</w:t>
      </w:r>
      <w:r>
        <w:rPr>
          <w:rFonts w:ascii="Arial" w:hAnsi="Arial"/>
          <w:b w:val="0"/>
          <w:i w:val="0"/>
          <w:sz w:val="28"/>
        </w:rPr>
        <w:t xml:space="preserve"> se haya calculado sobre la cuota correctamente incrementada. Ninguna de esas negativas encierra la afirmación de otro hecho, de modo que no se actualiza la salvedad del artículo 42 de la ley procesal y la carga de la prueba corresponde íntegramente al Instituto.</w:t>
      </w:r>
    </w:p>
    <w:p>
      <w:pPr>
        <w:spacing w:line="360" w:lineRule="auto"/>
        <w:jc w:val="both"/>
      </w:pPr>
      <w:r>
        <w:rPr>
          <w:rFonts w:ascii="Arial" w:hAnsi="Arial"/>
          <w:b w:val="0"/>
          <w:i w:val="0"/>
          <w:sz w:val="28"/>
        </w:rPr>
        <w:t>Para que esa carga se despliegue con las constancias idóneas, se solicita que, con fundamento en el artículo 15, tercer párrafo, de la Ley Federal de Procedimiento Contencioso Administrativo, se requiera a la autoridad la hoja única de servicios, la constancia de percepciones y deducciones, la constancia de evolución salarial de la plaza y el desglose de lo pagado por gratificación anual en cada ejercicio, documentos que la parte actora identificó y pidió sin obtenerlos, como consta en la copia de la solicitud que se acompaña.</w:t>
      </w:r>
    </w:p>
    <w:p>
      <w:pPr>
        <w:spacing w:line="360" w:lineRule="auto"/>
        <w:jc w:val="both"/>
      </w:pPr>
      <w:r>
        <w:rPr>
          <w:rFonts w:ascii="Arial" w:hAnsi="Arial"/>
          <w:b w:val="0"/>
          <w:i w:val="0"/>
          <w:sz w:val="28"/>
        </w:rPr>
        <w:t>Es previsible que, al contestar, el Instituto sostenga que la pensión se otorgó y se ha incrementado correctamente, y que ofrezca sólo la instrumental de actuaciones, la presuncional legal y humana o la referencia a una página electrónica donde constan los comprobantes de pago. Esa defensa incurre en la falacia de eludir la carga de la prueba, que consiste en no aportar razones que fundamenten la conclusión o en pretender que las aporte el oponente.</w:t>
      </w:r>
      <w:r>
        <w:rPr>
          <w:rFonts w:ascii="Arial" w:hAnsi="Arial"/>
          <w:vertAlign w:val="superscript"/>
        </w:rPr>
        <w:t>5</w:t>
      </w:r>
      <w:r>
        <w:rPr>
          <w:rFonts w:ascii="Arial" w:hAnsi="Arial"/>
          <w:b w:val="0"/>
          <w:i w:val="0"/>
          <w:sz w:val="28"/>
        </w:rPr>
        <w:t xml:space="preserve"> Afirmar la corrección del cálculo no equivale a demostrarla.</w:t>
      </w:r>
    </w:p>
    <w:p>
      <w:pPr>
        <w:spacing w:line="360" w:lineRule="auto"/>
        <w:jc w:val="both"/>
      </w:pPr>
      <w:r>
        <w:rPr>
          <w:rFonts w:ascii="Arial" w:hAnsi="Arial"/>
          <w:b w:val="0"/>
          <w:i w:val="0"/>
          <w:sz w:val="28"/>
        </w:rPr>
        <w:t>Tampoco basta que los comprobantes de pago muestren el porcentaje aplicado cada año. Como lo reconoció la misma Sala Regional en el caso análogo citado, si no obra en autos la constancia de evolución salarial de la plaza que se desempeñó en activo, no existe forma de constatar si el incremento aplicado es el correcto ni si reporta mayor beneficio que el índice. Un porcentaje desprovisto de su término de comparación sólo acredita que se aplicó un aumento, y deja sin demostrar que ese aumento fuera el debido.</w:t>
      </w:r>
    </w:p>
    <w:p>
      <w:pPr>
        <w:spacing w:line="360" w:lineRule="auto"/>
        <w:jc w:val="both"/>
      </w:pPr>
      <w:r>
        <w:rPr>
          <w:rFonts w:ascii="Arial" w:hAnsi="Arial"/>
          <w:b w:val="0"/>
          <w:i w:val="0"/>
          <w:sz w:val="28"/>
        </w:rPr>
        <w:t>Si el Instituto alega que no pudo identificar el puesto y que por ello aplicó únicamente el índice, su defensa se apoya en un hecho que debe probar, porque la ley reserva ese criterio para el supuesto en que la identificación no sea posible. La parte actora ha señalado su último puesto y su dependencia de adscripción, y la autoridad conserva la hoja única de servicios; si ni siquiera precisa el puesto que tomó como referencia, su motivación carece del dato indispensable para sostener el parámetro elegido.</w:t>
      </w:r>
    </w:p>
    <w:p>
      <w:pPr>
        <w:spacing w:line="360" w:lineRule="auto"/>
        <w:jc w:val="both"/>
      </w:pPr>
      <w:r>
        <w:rPr>
          <w:rFonts w:ascii="Arial" w:hAnsi="Arial"/>
          <w:b w:val="0"/>
          <w:i w:val="0"/>
          <w:sz w:val="28"/>
        </w:rPr>
        <w:t>Respecto de la gratificación anual, la defensa típica consiste en afirmar que el aguinaldo se pagó cada año con el número de días que fijó el decreto correspondiente. Ese argumento incurre en ignoratio elenchi, la falacia que consiste en probar algo diferente de lo que se cuestiona.</w:t>
      </w:r>
      <w:r>
        <w:rPr>
          <w:rFonts w:ascii="Arial" w:hAnsi="Arial"/>
          <w:vertAlign w:val="superscript"/>
        </w:rPr>
        <w:t>6</w:t>
      </w:r>
      <w:r>
        <w:rPr>
          <w:rFonts w:ascii="Arial" w:hAnsi="Arial"/>
          <w:b w:val="0"/>
          <w:i w:val="0"/>
          <w:sz w:val="28"/>
        </w:rPr>
        <w:t xml:space="preserve"> La parte actora no discute el número de días; lo que controvierte es la base a la que esos días se aplicaron, que es la cuota diaria que, por la omisión denunciada, quedó por debajo de la debida.</w:t>
      </w:r>
    </w:p>
    <w:p>
      <w:pPr>
        <w:spacing w:line="360" w:lineRule="auto"/>
        <w:jc w:val="both"/>
      </w:pPr>
      <w:r>
        <w:rPr>
          <w:rFonts w:ascii="Arial" w:hAnsi="Arial"/>
          <w:b w:val="0"/>
          <w:i w:val="0"/>
          <w:sz w:val="28"/>
        </w:rPr>
        <w:t xml:space="preserve">La gratificación es, además, una prestación derivada, cuya corrección es consecuencia necesaria de la corrección de la cuota diaria; por eso el organismo no puede reconocer la diferencia en la cuota y negarla en el aguinaldo sin contradecir la regla que él mismo debe aplicar. Si la cuota de cada ejercicio debió ser mayor, la gratificación de ese ejercicio, calculada </w:t>
      </w:r>
      <w:r>
        <w:rPr>
          <w:rFonts w:ascii="Arial" w:hAnsi="Arial"/>
          <w:b w:val="0"/>
          <w:i/>
          <w:sz w:val="28"/>
        </w:rPr>
        <w:t>“según la cuota diaria de su pensión”</w:t>
      </w:r>
      <w:r>
        <w:rPr>
          <w:rFonts w:ascii="Arial" w:hAnsi="Arial"/>
          <w:b w:val="0"/>
          <w:i w:val="0"/>
          <w:sz w:val="28"/>
        </w:rPr>
        <w:t>, también debió serlo, y la diferencia es exigible desde la fecha en que esa gratificación debió pagarse.</w:t>
      </w:r>
    </w:p>
    <w:p>
      <w:pPr>
        <w:spacing w:line="360" w:lineRule="auto"/>
        <w:jc w:val="both"/>
      </w:pPr>
      <w:r>
        <w:rPr>
          <w:rFonts w:ascii="Arial" w:hAnsi="Arial"/>
          <w:b w:val="0"/>
          <w:i w:val="0"/>
          <w:sz w:val="28"/>
        </w:rPr>
        <w:t xml:space="preserve">En cuanto a la prescripción, el texto del artículo 186 que aplicó la Sala Regional en el caso análogo ya citado, o el precepto equivalente del ordenamiento que rija la pensión, declara que </w:t>
      </w:r>
      <w:r>
        <w:rPr>
          <w:rFonts w:ascii="Arial" w:hAnsi="Arial"/>
          <w:b w:val="0"/>
          <w:i/>
          <w:sz w:val="28"/>
        </w:rPr>
        <w:t>“El derecho a la Pensión es imprescriptible.”</w:t>
      </w:r>
      <w:r>
        <w:rPr>
          <w:rFonts w:ascii="Arial" w:hAnsi="Arial"/>
          <w:b w:val="0"/>
          <w:i w:val="0"/>
          <w:sz w:val="28"/>
        </w:rPr>
        <w:t xml:space="preserve"> y sólo sujeta a prescripción las prestaciones en dinero no reclamadas oportunamente. El derecho a que la cuantía se calcule correctamente subsiste, entonces, íntegro, y la prescripción sólo puede alcanzar las diferencias de cuota diaria y de gratificación anteriores al periodo que la ley protege, contado hacia atrás desde el </w:t>
      </w:r>
      <w:r>
        <w:rPr>
          <w:rFonts w:ascii="Arial" w:hAnsi="Arial"/>
          <w:b/>
          <w:i w:val="0"/>
          <w:sz w:val="28"/>
        </w:rPr>
        <w:t>[FECHA DE PRESENTACIÓN DE LA PETICIÓN]</w:t>
      </w:r>
      <w:r>
        <w:rPr>
          <w:rFonts w:ascii="Arial" w:hAnsi="Arial"/>
          <w:b w:val="0"/>
          <w:i w:val="0"/>
          <w:sz w:val="28"/>
        </w:rPr>
        <w:t>.</w:t>
      </w:r>
    </w:p>
    <w:p>
      <w:pPr>
        <w:spacing w:line="360" w:lineRule="auto"/>
        <w:jc w:val="both"/>
      </w:pPr>
      <w:r>
        <w:rPr>
          <w:rFonts w:ascii="Arial" w:hAnsi="Arial"/>
          <w:b w:val="0"/>
          <w:i w:val="0"/>
          <w:sz w:val="28"/>
        </w:rPr>
        <w:t>Aceptar la postura contraria produciría un resultado inadmisible: bastaría que el Instituto guardara silencio frente a la petición y, ya en juicio, se limitara a afirmar la corrección de sus cálculos para que la persona pensionada cargara con la prueba imposible de una omisión que sólo los archivos del organismo pueden documentar. Esa inversión vaciaría de contenido el artículo 42 de la ley procesal y convertiría la negativa ficta en un escudo frente a la obligación de motivar.</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Instituto debía aplicar cada enero a la cuota diaria de la pensión el incremento de mayor beneficio entre la variación del índice de precios y los aumentos a los sueldos básicos del puesto de referencia; la gratificación anual se calcula sobre esa cuota, de modo que toda omisión en la primera se reproduce en la segunda; y la negativa lisa y llana de la parte actora traslada a la autoridad la carga de demostrar que calculó y pagó correctamente ambas prestaciones. Al no hacerlo, la negativa ficta se dictó en contravención de las disposiciones aplicables y dejó de aplicar las debidas.</w:t>
      </w:r>
    </w:p>
    <w:p>
      <w:pPr>
        <w:spacing w:line="360" w:lineRule="auto"/>
        <w:jc w:val="both"/>
      </w:pPr>
      <w:r>
        <w:rPr>
          <w:rFonts w:ascii="Arial" w:hAnsi="Arial"/>
          <w:b w:val="0"/>
          <w:i w:val="0"/>
          <w:sz w:val="28"/>
        </w:rPr>
        <w:t xml:space="preserve">Por lo expuesto, procede declarar fundado este concepto de impugnación y, con fundamento en los artículos 51, fracción IV, y 52, fracción V, inciso a), de la Ley Federal de Procedimiento Contencioso Administrativo, declarar la nulidad de la resolución negativa ficta, reconocer el derecho subjetivo de la parte actora y condenar al Instituto a emitir, dentro del plazo que prevé el propio artículo 52, una resolución fundada y motivada en la que aplique a la cuota diaria los incrementos de mayor beneficio a partir del 1 de enero de </w:t>
      </w:r>
      <w:r>
        <w:rPr>
          <w:rFonts w:ascii="Arial" w:hAnsi="Arial"/>
          <w:b/>
          <w:i w:val="0"/>
          <w:sz w:val="28"/>
        </w:rPr>
        <w:t>[PRIMER EJERCICIO CON DERECHO A INCREMENTO]</w:t>
      </w:r>
      <w:r>
        <w:rPr>
          <w:rFonts w:ascii="Arial" w:hAnsi="Arial"/>
          <w:b w:val="0"/>
          <w:i w:val="0"/>
          <w:sz w:val="28"/>
        </w:rPr>
        <w:t>.</w:t>
      </w:r>
    </w:p>
    <w:p>
      <w:pPr>
        <w:spacing w:line="360" w:lineRule="auto"/>
        <w:jc w:val="both"/>
      </w:pPr>
      <w:r>
        <w:rPr>
          <w:rFonts w:ascii="Arial" w:hAnsi="Arial"/>
          <w:b w:val="0"/>
          <w:i w:val="0"/>
          <w:sz w:val="28"/>
        </w:rPr>
        <w:t>Se solicita, asimismo, que la condena comprenda expresamente el recálculo de la gratificación anual de cada ejercicio sobre la cuota diaria corregida y el pago de las diferencias no prescritas de ambos conceptos, actualizadas mes por mes conforme al procedimiento del artículo 6, fracción II, de la Ley del Impuesto sobre la Renta.</w:t>
      </w:r>
    </w:p>
    <w:p>
      <w:pPr>
        <w:spacing w:line="360" w:lineRule="auto"/>
        <w:jc w:val="both"/>
      </w:pPr>
      <w:r>
        <w:rPr>
          <w:rFonts w:ascii="Arial" w:hAnsi="Arial"/>
          <w:b w:val="0"/>
          <w:i w:val="0"/>
          <w:sz w:val="28"/>
        </w:rPr>
        <w:t>Para que el cumplimiento pueda verificarse, el organismo deberá expresar en su resolución, por cada año, el parámetro aplicado, el porcentaje resultante y la base sobre la que calculó el aguinaldo; con ese fin se acompaña, como anexo, un cálculo comparativo elaborado con los datos de que dispone la parte actora.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 p. 894.</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245.</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89.</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115.</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 p. 74.</w:t>
      </w:r>
    </w:p>
    <w:p/>
    <w:p>
      <w:r>
        <w:rPr>
          <w:rFonts w:ascii="Arial" w:hAnsi="Arial"/>
          <w:b/>
          <w:sz w:val="22"/>
        </w:rPr>
        <w:t>BIBLIOGRAFÍA</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w:t>
      </w:r>
    </w:p>
    <w:p>
      <w:pPr>
        <w:spacing w:after="60"/>
        <w:ind w:left="360" w:hanging="360"/>
        <w:jc w:val="both"/>
      </w:pP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