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EL ESTÍMULO FISCAL POR DIÉSEL NO ES INGRESO ACUMULABLE PARA EL ISR</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y léelo completo antes de adaptarlo. Primero determina la vía: en la ordinaria, la demanda se presenta dentro de los treinta días siguientes a aquél en que haya surtido efectos la notificación de la resolución impugnada (artículo 13, fracción I, de la Ley Federal de Procedimiento Contencioso Administrativo); en la sumaria el plazo también es de treinta días (artículo 58-2, párrafo tercero).</w:t>
      </w:r>
    </w:p>
    <w:p>
      <w:pPr>
        <w:spacing w:line="360" w:lineRule="auto"/>
        <w:jc w:val="both"/>
      </w:pPr>
      <w:r>
        <w:rPr>
          <w:rFonts w:ascii="Arial" w:hAnsi="Arial"/>
          <w:b w:val="0"/>
          <w:i w:val="0"/>
          <w:sz w:val="24"/>
        </w:rPr>
        <w:t>Después consigue el texto de la Ley de Ingresos de la Federación del ejercicio revisado y confirma en qué precepto está el estímulo y qué fracciones excluye de la acumulación su último párrafo: el catálogo cambia cada año y, si la ley ordenara expresamente acumular el beneficio, el concepto pierde su base. Revisa la resolución: si la autoridad también objetó la procedencia del estímulo (comprobantes, uso en vehículos, consumo final), combate esa parte en un concepto distinto y ajusta el párrafo que afirma que no la cuestionó.</w:t>
      </w:r>
    </w:p>
    <w:p>
      <w:pPr>
        <w:spacing w:line="360" w:lineRule="auto"/>
        <w:jc w:val="both"/>
      </w:pPr>
      <w:r>
        <w:rPr>
          <w:rFonts w:ascii="Arial" w:hAnsi="Arial"/>
          <w:b w:val="0"/>
          <w:i w:val="0"/>
          <w:sz w:val="24"/>
        </w:rPr>
        <w:t>Llena los campos editables con los datos de tu expediente, verifica cada cifra contra la resolución y la declaración anual, y coteja el texto vigente del artículo 5o. del Código Fiscal de la Federación antes de presentar la demanda.</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[NÚMERO DE OFICIO DE LA RESOLUCIÓN IMPUGNADA]</w:t>
      </w:r>
      <w:r>
        <w:rPr>
          <w:rFonts w:ascii="Arial" w:hAnsi="Arial"/>
          <w:b w:val="0"/>
          <w:i w:val="0"/>
          <w:sz w:val="24"/>
        </w:rPr>
        <w:t>: el número exacto del oficio determinante.</w:t>
      </w:r>
    </w:p>
    <w:p>
      <w:pPr>
        <w:spacing w:line="360" w:lineRule="auto"/>
        <w:jc w:val="both"/>
      </w:pPr>
      <w:r>
        <w:rPr>
          <w:rFonts w:ascii="Arial" w:hAnsi="Arial"/>
          <w:b/>
          <w:i w:val="0"/>
          <w:sz w:val="24"/>
        </w:rPr>
        <w:t>[FECHA DE LA RESOLUCIÓN IMPUGNADA]</w:t>
      </w:r>
      <w:r>
        <w:rPr>
          <w:rFonts w:ascii="Arial" w:hAnsi="Arial"/>
          <w:b w:val="0"/>
          <w:i w:val="0"/>
          <w:sz w:val="24"/>
        </w:rPr>
        <w:t>: la fecha de emisión del oficio.</w:t>
      </w:r>
    </w:p>
    <w:p>
      <w:pPr>
        <w:spacing w:line="360" w:lineRule="auto"/>
        <w:jc w:val="both"/>
      </w:pPr>
      <w:r>
        <w:rPr>
          <w:rFonts w:ascii="Arial" w:hAnsi="Arial"/>
          <w:b/>
          <w:i w:val="0"/>
          <w:sz w:val="24"/>
        </w:rPr>
        <w:t>[AUTORIDAD DEMANDADA]</w:t>
      </w:r>
      <w:r>
        <w:rPr>
          <w:rFonts w:ascii="Arial" w:hAnsi="Arial"/>
          <w:b w:val="0"/>
          <w:i w:val="0"/>
          <w:sz w:val="24"/>
        </w:rPr>
        <w:t>: la unidad administrativa emisora, con su denominación completa.</w:t>
      </w:r>
    </w:p>
    <w:p>
      <w:pPr>
        <w:spacing w:line="360" w:lineRule="auto"/>
        <w:jc w:val="both"/>
      </w:pPr>
      <w:r>
        <w:rPr>
          <w:rFonts w:ascii="Arial" w:hAnsi="Arial"/>
          <w:b/>
          <w:i w:val="0"/>
          <w:sz w:val="24"/>
        </w:rPr>
        <w:t>[NOMBRE O DENOMINACIÓN DE LA PARTE ACTORA]</w:t>
      </w:r>
      <w:r>
        <w:rPr>
          <w:rFonts w:ascii="Arial" w:hAnsi="Arial"/>
          <w:b w:val="0"/>
          <w:i w:val="0"/>
          <w:sz w:val="24"/>
        </w:rPr>
        <w:t>: la razón social o el nombre de la persona contribuyente.</w:t>
      </w:r>
    </w:p>
    <w:p>
      <w:pPr>
        <w:spacing w:line="360" w:lineRule="auto"/>
        <w:jc w:val="both"/>
      </w:pPr>
      <w:r>
        <w:rPr>
          <w:rFonts w:ascii="Arial" w:hAnsi="Arial"/>
          <w:b/>
          <w:i w:val="0"/>
          <w:sz w:val="24"/>
        </w:rPr>
        <w:t>[EJERCICIO FISCAL REVISADO]</w:t>
      </w:r>
      <w:r>
        <w:rPr>
          <w:rFonts w:ascii="Arial" w:hAnsi="Arial"/>
          <w:b w:val="0"/>
          <w:i w:val="0"/>
          <w:sz w:val="24"/>
        </w:rPr>
        <w:t>: el año que revisó la autoridad, por ejemplo 2019.</w:t>
      </w:r>
    </w:p>
    <w:p>
      <w:pPr>
        <w:spacing w:line="360" w:lineRule="auto"/>
        <w:jc w:val="both"/>
      </w:pPr>
      <w:r>
        <w:rPr>
          <w:rFonts w:ascii="Arial" w:hAnsi="Arial"/>
          <w:b/>
          <w:i w:val="0"/>
          <w:sz w:val="24"/>
        </w:rPr>
        <w:t>[MONTO DEL ESTÍMULO ACUMULADO POR LA AUTORIDAD]</w:t>
      </w:r>
      <w:r>
        <w:rPr>
          <w:rFonts w:ascii="Arial" w:hAnsi="Arial"/>
          <w:b w:val="0"/>
          <w:i w:val="0"/>
          <w:sz w:val="24"/>
        </w:rPr>
        <w:t>: la cantidad que la autoridad sumó a los ingresos acumulables, con número y letra.</w:t>
      </w:r>
    </w:p>
    <w:p>
      <w:pPr>
        <w:spacing w:line="360" w:lineRule="auto"/>
        <w:jc w:val="both"/>
      </w:pPr>
      <w:r>
        <w:rPr>
          <w:rFonts w:ascii="Arial" w:hAnsi="Arial"/>
          <w:b/>
          <w:i w:val="0"/>
          <w:sz w:val="24"/>
        </w:rPr>
        <w:t>[FECHA DE NOTIFICACIÓN DE LA RESOLUCIÓN IMPUGNADA]</w:t>
      </w:r>
      <w:r>
        <w:rPr>
          <w:rFonts w:ascii="Arial" w:hAnsi="Arial"/>
          <w:b w:val="0"/>
          <w:i w:val="0"/>
          <w:sz w:val="24"/>
        </w:rPr>
        <w:t>: la fecha en que se notificó, incluido el buzón tributario.</w:t>
      </w:r>
    </w:p>
    <w:p>
      <w:pPr>
        <w:spacing w:line="360" w:lineRule="auto"/>
        <w:jc w:val="both"/>
      </w:pPr>
      <w:r>
        <w:rPr>
          <w:rFonts w:ascii="Arial" w:hAnsi="Arial"/>
          <w:b/>
          <w:i w:val="0"/>
          <w:sz w:val="24"/>
        </w:rPr>
        <w:t>[EFECTO DETERMINADO EN EL IMPUESTO DEL EJERCICIO]</w:t>
      </w:r>
      <w:r>
        <w:rPr>
          <w:rFonts w:ascii="Arial" w:hAnsi="Arial"/>
          <w:b w:val="0"/>
          <w:i w:val="0"/>
          <w:sz w:val="24"/>
        </w:rPr>
        <w:t xml:space="preserve">: lo que la autoridad derivó de la acumulación, por ejemplo </w:t>
      </w:r>
      <w:r>
        <w:rPr>
          <w:rFonts w:ascii="Arial" w:hAnsi="Arial"/>
          <w:b w:val="0"/>
          <w:i/>
          <w:sz w:val="24"/>
        </w:rPr>
        <w:t>“declaró improcedente una parte del saldo a favor manifestado”</w:t>
      </w:r>
      <w:r>
        <w:rPr>
          <w:rFonts w:ascii="Arial" w:hAnsi="Arial"/>
          <w:b w:val="0"/>
          <w:i w:val="0"/>
          <w:sz w:val="24"/>
        </w:rPr>
        <w:t xml:space="preserve"> o </w:t>
      </w:r>
      <w:r>
        <w:rPr>
          <w:rFonts w:ascii="Arial" w:hAnsi="Arial"/>
          <w:b w:val="0"/>
          <w:i/>
          <w:sz w:val="24"/>
        </w:rPr>
        <w:t>“determinó impuesto omitido”</w:t>
      </w:r>
      <w:r>
        <w:rPr>
          <w:rFonts w:ascii="Arial" w:hAnsi="Arial"/>
          <w:b w:val="0"/>
          <w:i w:val="0"/>
          <w:sz w:val="24"/>
        </w:rPr>
        <w:t>, con cifras.</w:t>
      </w:r>
    </w:p>
    <w:p>
      <w:pPr>
        <w:spacing w:line="360" w:lineRule="auto"/>
        <w:jc w:val="both"/>
      </w:pPr>
      <w:r>
        <w:rPr>
          <w:rFonts w:ascii="Arial" w:hAnsi="Arial"/>
          <w:b/>
          <w:i w:val="0"/>
          <w:sz w:val="24"/>
        </w:rPr>
        <w:t>[MONTO DE LA MULTA]</w:t>
      </w:r>
      <w:r>
        <w:rPr>
          <w:rFonts w:ascii="Arial" w:hAnsi="Arial"/>
          <w:b w:val="0"/>
          <w:i w:val="0"/>
          <w:sz w:val="24"/>
        </w:rPr>
        <w:t>: el importe de la sanción, con número y letra.</w:t>
      </w:r>
    </w:p>
    <w:p>
      <w:pPr>
        <w:spacing w:line="360" w:lineRule="auto"/>
        <w:jc w:val="both"/>
      </w:pPr>
      <w:r>
        <w:rPr>
          <w:rFonts w:ascii="Arial" w:hAnsi="Arial"/>
          <w:b/>
          <w:i w:val="0"/>
          <w:sz w:val="24"/>
        </w:rPr>
        <w:t>[PRECEPTO DE LA LEY DE INGRESOS QUE OTORGA EL ESTÍMULO]</w:t>
      </w:r>
      <w:r>
        <w:rPr>
          <w:rFonts w:ascii="Arial" w:hAnsi="Arial"/>
          <w:b w:val="0"/>
          <w:i w:val="0"/>
          <w:sz w:val="24"/>
        </w:rPr>
        <w:t>: artículo, apartado y fracciones de la Ley de Ingresos de la Federación del ejercicio revisado que conceden el estímulo.</w:t>
      </w:r>
    </w:p>
    <w:p>
      <w:pPr>
        <w:spacing w:line="360" w:lineRule="auto"/>
        <w:jc w:val="both"/>
      </w:pPr>
      <w:r>
        <w:rPr>
          <w:rFonts w:ascii="Arial" w:hAnsi="Arial"/>
          <w:b/>
          <w:i w:val="0"/>
          <w:sz w:val="24"/>
        </w:rPr>
        <w:t>[FRACCIONES QUE EL ÚLTIMO PÁRRAFO EXCLUYE DE LA ACUMULACIÓN]</w:t>
      </w:r>
      <w:r>
        <w:rPr>
          <w:rFonts w:ascii="Arial" w:hAnsi="Arial"/>
          <w:b w:val="0"/>
          <w:i w:val="0"/>
          <w:sz w:val="24"/>
        </w:rPr>
        <w:t>: las fracciones que enumera el último párrafo de ese apartado en el ejercicio revisado; en la ley de 2019 eran la VIII, IX, X y XI.</w:t>
      </w:r>
    </w:p>
    <w:p>
      <w:pPr>
        <w:spacing w:line="360" w:lineRule="auto"/>
        <w:jc w:val="both"/>
      </w:pPr>
      <w:r>
        <w:rPr>
          <w:rFonts w:ascii="Arial" w:hAnsi="Arial"/>
          <w:b/>
          <w:i w:val="0"/>
          <w:sz w:val="24"/>
        </w:rPr>
        <w:t>[TRANSCRIPCIÓN DEL PASAJE DE LA RESOLUCIÓN QUE SOSTIENE LA ACUMULACIÓN]</w:t>
      </w:r>
      <w:r>
        <w:rPr>
          <w:rFonts w:ascii="Arial" w:hAnsi="Arial"/>
          <w:b w:val="0"/>
          <w:i w:val="0"/>
          <w:sz w:val="24"/>
        </w:rPr>
        <w:t>: la copia literal, entre comillas, del razonamiento con que la autoridad sumó el estímulo a la base.</w:t>
      </w:r>
    </w:p>
    <w:p>
      <w:pPr>
        <w:spacing w:line="360" w:lineRule="auto"/>
        <w:jc w:val="both"/>
      </w:pPr>
      <w:r>
        <w:rPr>
          <w:rFonts w:ascii="Arial" w:hAnsi="Arial"/>
          <w:b/>
          <w:i w:val="0"/>
          <w:sz w:val="24"/>
        </w:rPr>
        <w:t>[PASAJE DE LA EXPOSICIÓN DE MOTIVOS INVOCADO POR LA AUTORIDAD]</w:t>
      </w:r>
      <w:r>
        <w:rPr>
          <w:rFonts w:ascii="Arial" w:hAnsi="Arial"/>
          <w:b w:val="0"/>
          <w:i w:val="0"/>
          <w:sz w:val="24"/>
        </w:rPr>
        <w:t>: la cita que haga la resolución; si no invocó la exposición de motivos, elimina los dos párrafos que la refutan.</w:t>
      </w:r>
    </w:p>
    <w:p>
      <w:pPr>
        <w:spacing w:line="360" w:lineRule="auto"/>
        <w:jc w:val="both"/>
      </w:pPr>
      <w:r>
        <w:rPr>
          <w:rFonts w:ascii="Arial" w:hAnsi="Arial"/>
          <w:b/>
          <w:i w:val="0"/>
          <w:sz w:val="24"/>
        </w:rPr>
        <w:t>[RESULTADO DECLARADO POR LA PARTE ACTORA]</w:t>
      </w:r>
      <w:r>
        <w:rPr>
          <w:rFonts w:ascii="Arial" w:hAnsi="Arial"/>
          <w:b w:val="0"/>
          <w:i w:val="0"/>
          <w:sz w:val="24"/>
        </w:rPr>
        <w:t>: el saldo a favor o el impuesto que manifestaste en la declaración anual, con su monto.</w:t>
      </w:r>
    </w:p>
    <w:p/>
    <w:p>
      <w:pPr>
        <w:spacing w:line="360" w:lineRule="auto"/>
        <w:jc w:val="both"/>
      </w:pPr>
      <w:r>
        <w:rPr>
          <w:rFonts w:ascii="Arial" w:hAnsi="Arial"/>
          <w:b/>
          <w:sz w:val="28"/>
        </w:rPr>
        <w:t>[NÚMERO ORDINAL DEL CONCEPTO] CONCEPTO DE IMPUGNACIÓN. El estímulo fiscal por la adquisición de diésel o biodiésel para maquinaria no constituye un ingreso acumulable para el impuesto sobre la renta. La autoridad lo gravó mediante una inferencia a contrario sensu del último párrafo del apartado de estímulos de la Ley de Ingresos de la Federación, sin que exista disposición que ordene sumarlo a la base, por lo que la resolución se dictó en contravención de las normas aplicadas y se actualiza la causal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DE OFICIO DE LA RESOLUCIÓN IMPUGNADA]</w:t>
      </w:r>
      <w:r>
        <w:rPr>
          <w:rFonts w:ascii="Arial" w:hAnsi="Arial"/>
          <w:b w:val="0"/>
          <w:i w:val="0"/>
          <w:sz w:val="28"/>
        </w:rPr>
        <w:t xml:space="preserve">, de fecha </w:t>
      </w:r>
      <w:r>
        <w:rPr>
          <w:rFonts w:ascii="Arial" w:hAnsi="Arial"/>
          <w:b/>
          <w:i w:val="0"/>
          <w:sz w:val="28"/>
        </w:rPr>
        <w:t>[FECHA DE LA RESOLUCIÓN IMPUGNADA]</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es ilegal en cuanto al fondo, porque adicionó a los ingresos acumulables de </w:t>
      </w:r>
      <w:r>
        <w:rPr>
          <w:rFonts w:ascii="Arial" w:hAnsi="Arial"/>
          <w:b/>
          <w:i w:val="0"/>
          <w:sz w:val="28"/>
        </w:rPr>
        <w:t>[NOMBRE O DENOMINACIÓN DE LA PARTE ACTORA]</w:t>
      </w:r>
      <w:r>
        <w:rPr>
          <w:rFonts w:ascii="Arial" w:hAnsi="Arial"/>
          <w:b w:val="0"/>
          <w:i w:val="0"/>
          <w:sz w:val="28"/>
        </w:rPr>
        <w:t xml:space="preserve"> en el ejercicio </w:t>
      </w:r>
      <w:r>
        <w:rPr>
          <w:rFonts w:ascii="Arial" w:hAnsi="Arial"/>
          <w:b/>
          <w:i w:val="0"/>
          <w:sz w:val="28"/>
        </w:rPr>
        <w:t>[EJERCICIO FISCAL REVISADO]</w:t>
      </w:r>
      <w:r>
        <w:rPr>
          <w:rFonts w:ascii="Arial" w:hAnsi="Arial"/>
          <w:b w:val="0"/>
          <w:i w:val="0"/>
          <w:sz w:val="28"/>
        </w:rPr>
        <w:t xml:space="preserve"> la cantidad de </w:t>
      </w:r>
      <w:r>
        <w:rPr>
          <w:rFonts w:ascii="Arial" w:hAnsi="Arial"/>
          <w:b/>
          <w:i w:val="0"/>
          <w:sz w:val="28"/>
        </w:rPr>
        <w:t>[MONTO DEL ESTÍMULO ACUMULADO POR LA AUTORIDAD]</w:t>
      </w:r>
      <w:r>
        <w:rPr>
          <w:rFonts w:ascii="Arial" w:hAnsi="Arial"/>
          <w:b w:val="0"/>
          <w:i w:val="0"/>
          <w:sz w:val="28"/>
        </w:rPr>
        <w:t>, que corresponde al estímulo por diésel o biodiésel que la propia ley le permitió acreditar contra el impuesto sobre la renta causado.</w:t>
      </w:r>
    </w:p>
    <w:p>
      <w:pPr>
        <w:spacing w:line="360" w:lineRule="auto"/>
        <w:jc w:val="both"/>
      </w:pPr>
      <w:r>
        <w:rPr>
          <w:rFonts w:ascii="Arial" w:hAnsi="Arial"/>
          <w:b w:val="0"/>
          <w:i w:val="0"/>
          <w:sz w:val="28"/>
        </w:rPr>
        <w:t>La demostración descansa en tres premisas. Primera: un estímulo fiscal es un subsidio con el que el Estado alivia la carga tributaria, de modo que sólo puede gravarse cuando el legislador lo ordena de manera expresa. Segunda: el último párrafo del apartado de estímulos enumera algunos beneficios que no se consideran ingresos acumulables, pero en ninguna porción dispone que los demás deban sumarse a la base. Tercera: la definición de la materia gravable es un elemento del tributo que no puede completarse con inferencias de la autoridad.</w:t>
      </w:r>
    </w:p>
    <w:p>
      <w:pPr>
        <w:spacing w:line="360" w:lineRule="auto"/>
        <w:jc w:val="both"/>
      </w:pPr>
      <w:r>
        <w:rPr>
          <w:rFonts w:ascii="Arial" w:hAnsi="Arial"/>
          <w:b w:val="0"/>
          <w:i w:val="0"/>
          <w:sz w:val="28"/>
        </w:rPr>
        <w:t>Si esas premisas se respetan, la conclusión es directa: la resolución se dictó en contravención de las disposiciones aplicadas y dejó de aplicar las debidas, hipótesis de la fracción IV del artículo 51 de la Ley Federal de Procedimiento Contencioso Administrativo; y como la multa impuesta y la modificación del resultado del ejercicio descansan por entero en esa adición indebida, procede la nulidad lisa y llana del acto.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la resolución precisada, notificada el </w:t>
      </w:r>
      <w:r>
        <w:rPr>
          <w:rFonts w:ascii="Arial" w:hAnsi="Arial"/>
          <w:b/>
          <w:i w:val="0"/>
          <w:sz w:val="28"/>
        </w:rPr>
        <w:t>[FECHA DE NOTIFICACIÓN DE LA RESOLUCIÓN IMPUGNADA]</w:t>
      </w:r>
      <w:r>
        <w:rPr>
          <w:rFonts w:ascii="Arial" w:hAnsi="Arial"/>
          <w:b w:val="0"/>
          <w:i w:val="0"/>
          <w:sz w:val="28"/>
        </w:rPr>
        <w:t xml:space="preserve">, con la que la autoridad, al concluir la revisión del ejercicio </w:t>
      </w:r>
      <w:r>
        <w:rPr>
          <w:rFonts w:ascii="Arial" w:hAnsi="Arial"/>
          <w:b/>
          <w:i w:val="0"/>
          <w:sz w:val="28"/>
        </w:rPr>
        <w:t>[EJERCICIO FISCAL REVISADO]</w:t>
      </w:r>
      <w:r>
        <w:rPr>
          <w:rFonts w:ascii="Arial" w:hAnsi="Arial"/>
          <w:b w:val="0"/>
          <w:i w:val="0"/>
          <w:sz w:val="28"/>
        </w:rPr>
        <w:t xml:space="preserve">, determinó una omisión de ingresos acumulables por el importe del estímulo aplicado y, en consecuencia, </w:t>
      </w:r>
      <w:r>
        <w:rPr>
          <w:rFonts w:ascii="Arial" w:hAnsi="Arial"/>
          <w:b/>
          <w:i w:val="0"/>
          <w:sz w:val="28"/>
        </w:rPr>
        <w:t>[EFECTO DETERMINADO EN EL IMPUESTO DEL EJERCICIO]</w:t>
      </w:r>
      <w:r>
        <w:rPr>
          <w:rFonts w:ascii="Arial" w:hAnsi="Arial"/>
          <w:b w:val="0"/>
          <w:i w:val="0"/>
          <w:sz w:val="28"/>
        </w:rPr>
        <w:t xml:space="preserve">, además de una multa de </w:t>
      </w:r>
      <w:r>
        <w:rPr>
          <w:rFonts w:ascii="Arial" w:hAnsi="Arial"/>
          <w:b/>
          <w:i w:val="0"/>
          <w:sz w:val="28"/>
        </w:rPr>
        <w:t>[MONTO DE LA MULTA]</w:t>
      </w:r>
      <w:r>
        <w:rPr>
          <w:rFonts w:ascii="Arial" w:hAnsi="Arial"/>
          <w:b w:val="0"/>
          <w:i w:val="0"/>
          <w:sz w:val="28"/>
        </w:rPr>
        <w:t xml:space="preserve"> por presentar la declaración anual en forma distinta a la que señalan las disposiciones fiscales.</w:t>
      </w:r>
    </w:p>
    <w:p>
      <w:pPr>
        <w:spacing w:line="360" w:lineRule="auto"/>
        <w:jc w:val="both"/>
      </w:pPr>
      <w:r>
        <w:rPr>
          <w:rFonts w:ascii="Arial" w:hAnsi="Arial"/>
          <w:b w:val="0"/>
          <w:i w:val="0"/>
          <w:sz w:val="28"/>
        </w:rPr>
        <w:t xml:space="preserve">El beneficio se encuentra en </w:t>
      </w:r>
      <w:r>
        <w:rPr>
          <w:rFonts w:ascii="Arial" w:hAnsi="Arial"/>
          <w:b/>
          <w:i w:val="0"/>
          <w:sz w:val="28"/>
        </w:rPr>
        <w:t>[PRECEPTO DE LA LEY DE INGRESOS QUE OTORGA EL ESTÍMULO]</w:t>
      </w:r>
      <w:r>
        <w:rPr>
          <w:rFonts w:ascii="Arial" w:hAnsi="Arial"/>
          <w:b w:val="0"/>
          <w:i w:val="0"/>
          <w:sz w:val="28"/>
        </w:rPr>
        <w:t>, que lo concede a quienes realizan actividades empresariales y adquieren diésel o biodiésel para su consumo final como combustible de maquinaria en general, y consiste en permitirles acreditar un monto equivalente al impuesto especial sobre producción y servicios generado por la enajenación de esos combustibles. En la ley de ingresos de 2019, por ejemplo, figura en el artículo 16, apartado A, fracciones I y II, y se acredita contra el impuesto sobre la renta del mismo ejercicio.</w:t>
      </w:r>
    </w:p>
    <w:p>
      <w:pPr>
        <w:spacing w:line="360" w:lineRule="auto"/>
        <w:jc w:val="both"/>
      </w:pPr>
      <w:r>
        <w:rPr>
          <w:rFonts w:ascii="Arial" w:hAnsi="Arial"/>
          <w:b w:val="0"/>
          <w:i w:val="0"/>
          <w:sz w:val="28"/>
        </w:rPr>
        <w:t xml:space="preserve">Las normas cuya violación se plantea son ese precepto y el último párrafo de su apartado, que en el ejercicio revisado excluye de la acumulación los estímulos de </w:t>
      </w:r>
      <w:r>
        <w:rPr>
          <w:rFonts w:ascii="Arial" w:hAnsi="Arial"/>
          <w:b/>
          <w:i w:val="0"/>
          <w:sz w:val="28"/>
        </w:rPr>
        <w:t>[FRACCIONES QUE EL ÚLTIMO PÁRRAFO EXCLUYE DE LA ACUMULACIÓN]</w:t>
      </w:r>
      <w:r>
        <w:rPr>
          <w:rFonts w:ascii="Arial" w:hAnsi="Arial"/>
          <w:b w:val="0"/>
          <w:i w:val="0"/>
          <w:sz w:val="28"/>
        </w:rPr>
        <w:t xml:space="preserve"> y que, en la ley de 2019, dispone: </w:t>
      </w:r>
      <w:r>
        <w:rPr>
          <w:rFonts w:ascii="Arial" w:hAnsi="Arial"/>
          <w:b w:val="0"/>
          <w:i/>
          <w:sz w:val="28"/>
        </w:rPr>
        <w:t>“Los estímulos fiscales previstos en las fracciones VIII, IX, X y XI del presente apartado no se considerarán ingresos acumulables para efectos del impuesto sobre la renta.”</w:t>
      </w:r>
      <w:r>
        <w:rPr>
          <w:rFonts w:ascii="Arial" w:hAnsi="Arial"/>
          <w:b w:val="0"/>
          <w:i w:val="0"/>
          <w:sz w:val="28"/>
        </w:rPr>
        <w:t xml:space="preserve"> Se invocan también el artículo 16, primer párrafo, de la Ley del Impuesto sobre la Renta, que la autoridad usó como fundamento, y los artículos 14, 16 y 31, fracción IV, constitucionales.</w:t>
      </w:r>
    </w:p>
    <w:p>
      <w:pPr>
        <w:spacing w:line="360" w:lineRule="auto"/>
        <w:jc w:val="both"/>
      </w:pPr>
      <w:r>
        <w:rPr>
          <w:rFonts w:ascii="Arial" w:hAnsi="Arial"/>
          <w:b w:val="0"/>
          <w:i w:val="0"/>
          <w:sz w:val="28"/>
        </w:rPr>
        <w:t>Como el catálogo de estímulos y el texto del último párrafo cambian de un año a otro, este planteamiento se formula sobre la ley de ingresos del ejercicio revisado y no sobre la de un periodo distinto. Lo que se mantiene constante es la estructura del problema: un beneficio concedido para reducir el impuesto, una lista expresa de apoyos no acumulables y la ausencia de cualquier mandato que ordene gravar los no enumerados.</w:t>
      </w:r>
    </w:p>
    <w:p>
      <w:pPr>
        <w:spacing w:line="360" w:lineRule="auto"/>
        <w:jc w:val="both"/>
      </w:pPr>
      <w:r>
        <w:rPr>
          <w:rFonts w:ascii="Arial" w:hAnsi="Arial"/>
          <w:b w:val="0"/>
          <w:i w:val="0"/>
          <w:sz w:val="28"/>
        </w:rPr>
        <w:t>El perjuicio es directo: al aumentar artificialmente la base, la autoridad recupera por la vía del impuesto sobre la renta una parte del subsidio que la ley ordenó conceder, altera el resultado declarado y sanciona como infracción una declaración que se ajustó a derecho. De prosperar este concepto, el beneficio es el mayor posible: la nulidad lisa y llana de la resolución, que deja intocado lo que la parte actora manifestó.</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 xml:space="preserve">El punto de partida es el artículo 31, fracción IV, constitucional, que obliga a contribuir a los gastos públicos </w:t>
      </w:r>
      <w:r>
        <w:rPr>
          <w:rFonts w:ascii="Arial" w:hAnsi="Arial"/>
          <w:b w:val="0"/>
          <w:i/>
          <w:sz w:val="28"/>
        </w:rPr>
        <w:t>“de la manera proporcional y equitativa que dispongan las leyes”</w:t>
      </w:r>
      <w:r>
        <w:rPr>
          <w:rFonts w:ascii="Arial" w:hAnsi="Arial"/>
          <w:b w:val="0"/>
          <w:i w:val="0"/>
          <w:sz w:val="28"/>
        </w:rPr>
        <w:t xml:space="preserve">. La doctrina distingue entre la potestad normativa tributaria, que corresponde al legislador y consiste en confeccionar el tributo conforme al aforismo </w:t>
      </w:r>
      <w:r>
        <w:rPr>
          <w:rFonts w:ascii="Arial" w:hAnsi="Arial"/>
          <w:b w:val="0"/>
          <w:i/>
          <w:sz w:val="28"/>
        </w:rPr>
        <w:t>“nullum tributum sine lege”</w:t>
      </w:r>
      <w:r>
        <w:rPr>
          <w:rFonts w:ascii="Arial" w:hAnsi="Arial"/>
          <w:b w:val="0"/>
          <w:i w:val="0"/>
          <w:sz w:val="28"/>
        </w:rPr>
        <w:t>, y las facultades de gestión de la administración, que sólo le permiten exigir el gravamen a quienes se ubican en los supuestos que la ley establece.</w:t>
      </w:r>
      <w:r>
        <w:rPr>
          <w:rFonts w:ascii="Arial" w:hAnsi="Arial"/>
          <w:vertAlign w:val="superscript"/>
        </w:rPr>
        <w:t>1</w:t>
      </w:r>
    </w:p>
    <w:p>
      <w:pPr>
        <w:spacing w:line="360" w:lineRule="auto"/>
        <w:jc w:val="both"/>
      </w:pPr>
      <w:r>
        <w:rPr>
          <w:rFonts w:ascii="Arial" w:hAnsi="Arial"/>
          <w:b w:val="0"/>
          <w:i w:val="0"/>
          <w:sz w:val="28"/>
        </w:rPr>
        <w:t>De esa distinción se sigue que la autoridad fiscal carece de atribuciones para integrar, por vía de interpretación, un componente de la base que el legislador no previó. Decidir qué partidas forman los ingresos gravables pertenece a la configuración legal del impuesto; cuando la administración incorpora una partida que ninguna norma señala, deja de gestionar la contribución y comienza a crearla.</w:t>
      </w:r>
    </w:p>
    <w:p>
      <w:pPr>
        <w:spacing w:line="360" w:lineRule="auto"/>
        <w:jc w:val="both"/>
      </w:pPr>
      <w:r>
        <w:rPr>
          <w:rFonts w:ascii="Arial" w:hAnsi="Arial"/>
          <w:b w:val="0"/>
          <w:i w:val="0"/>
          <w:sz w:val="28"/>
        </w:rPr>
        <w:t>Por esa razón, la materia hacendaria figura entre aquellas que la teoría de la argumentación identifica con restricciones para el empleo de la analogía.</w:t>
      </w:r>
      <w:r>
        <w:rPr>
          <w:rFonts w:ascii="Arial" w:hAnsi="Arial"/>
          <w:vertAlign w:val="superscript"/>
        </w:rPr>
        <w:t>2</w:t>
      </w:r>
      <w:r>
        <w:rPr>
          <w:rFonts w:ascii="Arial" w:hAnsi="Arial"/>
          <w:b w:val="0"/>
          <w:i w:val="0"/>
          <w:sz w:val="28"/>
        </w:rPr>
        <w:t xml:space="preserve"> Las normas que definen la base gravable se aplican conforme a su texto, y el artículo 5o. del Código Fiscal de la Federación, que ordena la aplicación estricta de las disposiciones que establecen cargas a los particulares, confirma que un vacío en la definición del objeto o de la base no puede colmarse en perjuicio de la persona contribuyente.</w:t>
      </w:r>
    </w:p>
    <w:p>
      <w:pPr>
        <w:spacing w:line="360" w:lineRule="auto"/>
        <w:jc w:val="both"/>
      </w:pPr>
      <w:r>
        <w:rPr>
          <w:rFonts w:ascii="Arial" w:hAnsi="Arial"/>
          <w:b w:val="0"/>
          <w:i w:val="0"/>
          <w:sz w:val="28"/>
        </w:rPr>
        <w:t xml:space="preserve">A esa regla se suma la naturaleza del beneficio. El artículo 28 constitucional autoriza otorgar </w:t>
      </w:r>
      <w:r>
        <w:rPr>
          <w:rFonts w:ascii="Arial" w:hAnsi="Arial"/>
          <w:b w:val="0"/>
          <w:i/>
          <w:sz w:val="28"/>
        </w:rPr>
        <w:t>“subsidios a actividades prioritarias, cuando sean generales, de carácter temporal y no afecten sustancialmente las finanzas de la Nación”</w:t>
      </w:r>
      <w:r>
        <w:rPr>
          <w:rFonts w:ascii="Arial" w:hAnsi="Arial"/>
          <w:b w:val="0"/>
          <w:i w:val="0"/>
          <w:sz w:val="28"/>
        </w:rPr>
        <w:t>, y el estímulo fiscal es una de las formas en que el Estado ejerce esa función de fomento: en lugar de entregar recursos, releva a la persona beneficiaria de una parte del impuesto a su cargo y asume él mismo esa carga.</w:t>
      </w:r>
    </w:p>
    <w:p>
      <w:pPr>
        <w:spacing w:line="360" w:lineRule="auto"/>
        <w:jc w:val="both"/>
      </w:pPr>
      <w:r>
        <w:rPr>
          <w:rFonts w:ascii="Arial" w:hAnsi="Arial"/>
          <w:b w:val="0"/>
          <w:i w:val="0"/>
          <w:sz w:val="28"/>
        </w:rPr>
        <w:t>Así lo ha reconocido una Sala Regional de este Tribunal en un caso análogo, cuyo criterio se invoca de manera ilustrativa: el estímulo debe entenderse como un derecho acreditable contra un impuesto a cargo del contribuyente, de naturaleza exclusivamente liberatoria, que no conlleva la facultad de cobro propia del crédito; y considerarlo ingreso acumulable haría nugatorio el fin perseguido con su creación, salvo que el instrumento que lo concede disponga expresamente lo contrario.</w:t>
      </w:r>
    </w:p>
    <w:p>
      <w:pPr>
        <w:spacing w:line="360" w:lineRule="auto"/>
        <w:jc w:val="both"/>
      </w:pPr>
      <w:r>
        <w:rPr>
          <w:rFonts w:ascii="Arial" w:hAnsi="Arial"/>
          <w:b w:val="0"/>
          <w:i w:val="0"/>
          <w:sz w:val="28"/>
        </w:rPr>
        <w:t xml:space="preserve">El texto mismo del beneficio corrobora ese carácter: la ley de 2019 dispone, respecto del monto acreditable, que </w:t>
      </w:r>
      <w:r>
        <w:rPr>
          <w:rFonts w:ascii="Arial" w:hAnsi="Arial"/>
          <w:b w:val="0"/>
          <w:i/>
          <w:sz w:val="28"/>
        </w:rPr>
        <w:t>“En ningún caso procederá la devolución de las cantidades a que se refiere este numeral”</w:t>
      </w:r>
      <w:r>
        <w:rPr>
          <w:rFonts w:ascii="Arial" w:hAnsi="Arial"/>
          <w:b w:val="0"/>
          <w:i w:val="0"/>
          <w:sz w:val="28"/>
        </w:rPr>
        <w:t>, y ordena que el acreditamiento se haga contra el impuesto causado del mismo ejercicio, con pérdida del derecho si no se ejerce en tiempo. Quien recibe el estímulo no adquiere una cantidad exigible; obtiene una reducción de su deuda tributaria que sólo opera frente al propio fisco.</w:t>
      </w:r>
    </w:p>
    <w:p>
      <w:pPr>
        <w:spacing w:line="360" w:lineRule="auto"/>
        <w:jc w:val="both"/>
      </w:pPr>
      <w:r>
        <w:rPr>
          <w:rFonts w:ascii="Arial" w:hAnsi="Arial"/>
          <w:b w:val="0"/>
          <w:i w:val="0"/>
          <w:sz w:val="28"/>
        </w:rPr>
        <w:t>Queda por examinar la herramienta con que la autoridad pretende suplir la falta de mandato expreso: el argumento a contrario. Según la teoría de la interpretación, este razonamiento justifica excluir la consecuencia jurídica que una norma prevé para un supuesto respecto de otros distintos de los expresamente mencionados, a partir de la presunción de que el legislador reguló esa hipótesis y sólo ella.</w:t>
      </w:r>
      <w:r>
        <w:rPr>
          <w:rFonts w:ascii="Arial" w:hAnsi="Arial"/>
          <w:vertAlign w:val="superscript"/>
        </w:rPr>
        <w:t>3</w:t>
      </w:r>
    </w:p>
    <w:p>
      <w:pPr>
        <w:spacing w:line="360" w:lineRule="auto"/>
        <w:jc w:val="both"/>
      </w:pPr>
      <w:r>
        <w:rPr>
          <w:rFonts w:ascii="Arial" w:hAnsi="Arial"/>
          <w:b w:val="0"/>
          <w:i w:val="0"/>
          <w:sz w:val="28"/>
        </w:rPr>
        <w:t>Su alcance es, por tanto, puramente negativo: lo único que autoriza a afirmar es que la consecuencia de la norma no se extiende a los casos no mencionados. La misma doctrina advierte que, empleado de ese modo, el razonamiento puede provocar una laguna que en principio no existía, pues el supuesto no previsto queda sin regulación y requiere de otro argumento para resolverse.</w:t>
      </w:r>
      <w:r>
        <w:rPr>
          <w:rFonts w:ascii="Arial" w:hAnsi="Arial"/>
          <w:vertAlign w:val="superscript"/>
        </w:rPr>
        <w:t>4</w:t>
      </w:r>
    </w:p>
    <w:p>
      <w:pPr>
        <w:spacing w:line="360" w:lineRule="auto"/>
        <w:jc w:val="both"/>
      </w:pPr>
      <w:r>
        <w:rPr>
          <w:rFonts w:ascii="Arial" w:hAnsi="Arial"/>
          <w:b w:val="0"/>
          <w:i w:val="0"/>
          <w:sz w:val="28"/>
        </w:rPr>
        <w:t>Aplicado al último párrafo del apartado de estímulos, el razonamiento a contrario conduce, cuando mucho, a esta proposición: la exclusión expresa de acumulación no comprende a las fracciones no enumeradas. No autoriza la conclusión inversa, la única útil para la autoridad, conforme a la cual esos beneficios deben acumularse; esa consecuencia positiva tendría que provenir de otra disposición, y en materia tributaria ésta debe ser explícita, porque fija la base del impuesto.</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encuadran en la premisa expuesta. En su declaración anual del ejercicio </w:t>
      </w:r>
      <w:r>
        <w:rPr>
          <w:rFonts w:ascii="Arial" w:hAnsi="Arial"/>
          <w:b/>
          <w:i w:val="0"/>
          <w:sz w:val="28"/>
        </w:rPr>
        <w:t>[EJERCICIO FISCAL REVISADO]</w:t>
      </w:r>
      <w:r>
        <w:rPr>
          <w:rFonts w:ascii="Arial" w:hAnsi="Arial"/>
          <w:b w:val="0"/>
          <w:i w:val="0"/>
          <w:sz w:val="28"/>
        </w:rPr>
        <w:t xml:space="preserve">, la parte actora aplicó contra el impuesto sobre la renta causado el estímulo por diésel o biodiésel por </w:t>
      </w:r>
      <w:r>
        <w:rPr>
          <w:rFonts w:ascii="Arial" w:hAnsi="Arial"/>
          <w:b/>
          <w:i w:val="0"/>
          <w:sz w:val="28"/>
        </w:rPr>
        <w:t>[MONTO DEL ESTÍMULO ACUMULADO POR LA AUTORIDAD]</w:t>
      </w:r>
      <w:r>
        <w:rPr>
          <w:rFonts w:ascii="Arial" w:hAnsi="Arial"/>
          <w:b w:val="0"/>
          <w:i w:val="0"/>
          <w:sz w:val="28"/>
        </w:rPr>
        <w:t>, sin sumarlo a sus ingresos acumulables. Conforme a la propia resolución, la autoridad no objetó la procedencia del beneficio, el volumen adquirido ni el destino del combustible; su único reproche consistió en que el monto debía integrarse a la base del tributo.</w:t>
      </w:r>
    </w:p>
    <w:p>
      <w:pPr>
        <w:spacing w:line="360" w:lineRule="auto"/>
        <w:jc w:val="both"/>
      </w:pPr>
      <w:r>
        <w:rPr>
          <w:rFonts w:ascii="Arial" w:hAnsi="Arial"/>
          <w:b w:val="0"/>
          <w:i w:val="0"/>
          <w:sz w:val="28"/>
        </w:rPr>
        <w:t xml:space="preserve">En la parte conducente, la resolución sostiene: </w:t>
      </w:r>
      <w:r>
        <w:rPr>
          <w:rFonts w:ascii="Arial" w:hAnsi="Arial"/>
          <w:b/>
          <w:i w:val="0"/>
          <w:sz w:val="28"/>
        </w:rPr>
        <w:t>[TRANSCRIPCIÓN DEL PASAJE DE LA RESOLUCIÓN QUE SOSTIENE LA ACUMULACIÓN]</w:t>
      </w:r>
      <w:r>
        <w:rPr>
          <w:rFonts w:ascii="Arial" w:hAnsi="Arial"/>
          <w:b w:val="0"/>
          <w:i w:val="0"/>
          <w:sz w:val="28"/>
        </w:rPr>
        <w:t xml:space="preserve">. Su razonamiento tiene dos apoyos: que el último párrafo del apartado de estímulos señala cuáles no se consideran acumulables y que, a contrario sensu, todos los demás sí lo son; y que el artículo 16, primer párrafo, de la Ley del Impuesto sobre la Renta obliga a acumular la totalidad de los ingresos </w:t>
      </w:r>
      <w:r>
        <w:rPr>
          <w:rFonts w:ascii="Arial" w:hAnsi="Arial"/>
          <w:b w:val="0"/>
          <w:i/>
          <w:sz w:val="28"/>
        </w:rPr>
        <w:t>“en efectivo, en bienes, en servicio, en crédito o de cualquier otro tipo”</w:t>
      </w:r>
      <w:r>
        <w:rPr>
          <w:rFonts w:ascii="Arial" w:hAnsi="Arial"/>
          <w:b w:val="0"/>
          <w:i w:val="0"/>
          <w:sz w:val="28"/>
        </w:rPr>
        <w:t>, de modo que el beneficio sería una percepción en crédito.</w:t>
      </w:r>
    </w:p>
    <w:p>
      <w:pPr>
        <w:spacing w:line="360" w:lineRule="auto"/>
        <w:jc w:val="both"/>
      </w:pPr>
      <w:r>
        <w:rPr>
          <w:rFonts w:ascii="Arial" w:hAnsi="Arial"/>
          <w:b w:val="0"/>
          <w:i w:val="0"/>
          <w:sz w:val="28"/>
        </w:rPr>
        <w:t>El primer apoyo es lógicamente inválido. Reconstruido en forma condicional, afirma: si un estímulo está enumerado en el último párrafo, entonces no se acumula; el beneficio por diésel no figura en esa lista; luego, debe sumarse a la base. Es la falacia de negar el antecedente, que consiste en tratar una condición suficiente como si fuera necesaria, de modo que, al negarla, no cabe concluir nada.</w:t>
      </w:r>
      <w:r>
        <w:rPr>
          <w:rFonts w:ascii="Arial" w:hAnsi="Arial"/>
          <w:vertAlign w:val="superscript"/>
        </w:rPr>
        <w:t>5</w:t>
      </w:r>
    </w:p>
    <w:p>
      <w:pPr>
        <w:spacing w:line="360" w:lineRule="auto"/>
        <w:jc w:val="both"/>
      </w:pPr>
      <w:r>
        <w:rPr>
          <w:rFonts w:ascii="Arial" w:hAnsi="Arial"/>
          <w:b w:val="0"/>
          <w:i w:val="0"/>
          <w:sz w:val="28"/>
        </w:rPr>
        <w:t>La enumeración del último párrafo basta para excluir la acumulación, pero no es la única vía: un estímulo tampoco se integra a la base cuando ninguna norma lo ordena, que es precisamente la situación del beneficio por diésel. La autoridad convirtió el silencio del legislador en un mandato de gravar, y con ello no interpretó el precepto: le añadió una disposición que no contiene.</w:t>
      </w:r>
    </w:p>
    <w:p>
      <w:pPr>
        <w:spacing w:line="360" w:lineRule="auto"/>
        <w:jc w:val="both"/>
      </w:pPr>
      <w:r>
        <w:rPr>
          <w:rFonts w:ascii="Arial" w:hAnsi="Arial"/>
          <w:b w:val="0"/>
          <w:i w:val="0"/>
          <w:sz w:val="28"/>
        </w:rPr>
        <w:t>El vicio se agrava si la propia resolución reconoce que los estímulos no son ingresos acumulables salvo que el instrumento que los concede disponga expresamente lo contrario, y enseguida invierte esa regla para sostener que todos se acumulan salvo exclusión explícita. Ambas proposiciones son incompatibles: si gravar el estímulo requiere una orden del legislador, la falta de excepción literal resulta irrelevante, y lo decisivo es que no existe mandato alguno de acumular.</w:t>
      </w:r>
    </w:p>
    <w:p>
      <w:pPr>
        <w:spacing w:line="360" w:lineRule="auto"/>
        <w:jc w:val="both"/>
      </w:pPr>
      <w:r>
        <w:rPr>
          <w:rFonts w:ascii="Arial" w:hAnsi="Arial"/>
          <w:b w:val="0"/>
          <w:i w:val="0"/>
          <w:sz w:val="28"/>
        </w:rPr>
        <w:t xml:space="preserve">Tampoco sostiene la determinación el segundo apoyo. El artículo 16, primer párrafo, de la Ley del Impuesto sobre la Renta ordena acumular los ingresos que las personas morales residentes en el país </w:t>
      </w:r>
      <w:r>
        <w:rPr>
          <w:rFonts w:ascii="Arial" w:hAnsi="Arial"/>
          <w:b w:val="0"/>
          <w:i/>
          <w:sz w:val="28"/>
        </w:rPr>
        <w:t>“obtengan en el ejercicio”</w:t>
      </w:r>
      <w:r>
        <w:rPr>
          <w:rFonts w:ascii="Arial" w:hAnsi="Arial"/>
          <w:b w:val="0"/>
          <w:i w:val="0"/>
          <w:sz w:val="28"/>
        </w:rPr>
        <w:t>, y el estímulo no es una cantidad obtenida de un tercero ni un crédito en sentido propio: es un derecho a disminuir la contribución a cargo de quien lo aplica, cuyo costo asume el Estado, sin facultad de cobro ni de devolución.</w:t>
      </w:r>
    </w:p>
    <w:p>
      <w:pPr>
        <w:spacing w:line="360" w:lineRule="auto"/>
        <w:jc w:val="both"/>
      </w:pPr>
      <w:r>
        <w:rPr>
          <w:rFonts w:ascii="Arial" w:hAnsi="Arial"/>
          <w:b w:val="0"/>
          <w:i w:val="0"/>
          <w:sz w:val="28"/>
        </w:rPr>
        <w:t>Equipararlo con un ingreso en crédito es una falsa analogía, porque omite justamente la diferencia relevante: aquél confiere la facultad de exigir un pago, mientras que el estímulo sólo libera de una parte de la deuda tributaria. La semejanza que invoca la autoridad, su efecto favorable en el patrimonio, es común a cualquier reducción de impuestos y no transforma en renta gravable lo que la ley concibió como alivio.</w:t>
      </w:r>
    </w:p>
    <w:p>
      <w:pPr>
        <w:spacing w:line="360" w:lineRule="auto"/>
        <w:jc w:val="both"/>
      </w:pPr>
      <w:r>
        <w:rPr>
          <w:rFonts w:ascii="Arial" w:hAnsi="Arial"/>
          <w:b w:val="0"/>
          <w:i w:val="0"/>
          <w:sz w:val="28"/>
        </w:rPr>
        <w:t>La consecuencia práctica revela el error. Si el monto del estímulo se suma a la base y luego se acredita contra el impuesto, el fisco recupera una parte del mismo subsidio que la ley ordenó conceder: para una persona moral sujeta a la tasa del treinta por ciento que prevé el artículo 9 de la ley que regula ese tributo, esa merma equivale a casi un tercio del beneficio. Ninguna disposición autoriza semejante reducción.</w:t>
      </w:r>
    </w:p>
    <w:p>
      <w:pPr>
        <w:spacing w:line="360" w:lineRule="auto"/>
        <w:jc w:val="both"/>
      </w:pPr>
      <w:r>
        <w:rPr>
          <w:rFonts w:ascii="Arial" w:hAnsi="Arial"/>
          <w:b w:val="0"/>
          <w:i w:val="0"/>
          <w:sz w:val="28"/>
        </w:rPr>
        <w:t>Si la autoridad invoca la exposición de motivos de la ley de ingresos para atribuir al Congreso la intención de gravar el estímulo, el argumento tampoco prospera. Aun quienes admiten acudir a los trabajos preparatorios para conocer la voluntad del legislador les reconocen límites: sólo sirven para aclarar una disposición dudosa, y lo que de ellos se extraiga nunca puede contradecir al texto aprobado.</w:t>
      </w:r>
      <w:r>
        <w:rPr>
          <w:rFonts w:ascii="Arial" w:hAnsi="Arial"/>
          <w:vertAlign w:val="superscript"/>
        </w:rPr>
        <w:t>6</w:t>
      </w:r>
    </w:p>
    <w:p>
      <w:pPr>
        <w:spacing w:line="360" w:lineRule="auto"/>
        <w:jc w:val="both"/>
      </w:pPr>
      <w:r>
        <w:rPr>
          <w:rFonts w:ascii="Arial" w:hAnsi="Arial"/>
          <w:b w:val="0"/>
          <w:i w:val="0"/>
          <w:sz w:val="28"/>
        </w:rPr>
        <w:t xml:space="preserve">La exposición de motivos no crea cargas tributarias. Lo que el artículo 31, fracción IV, constitucional exige es que la contribución esté dispuesta en las leyes, y el texto aprobado por el Congreso de la Unión no ordena acumular el estímulo; el pasaje que transcribe la autoridad, </w:t>
      </w:r>
      <w:r>
        <w:rPr>
          <w:rFonts w:ascii="Arial" w:hAnsi="Arial"/>
          <w:b/>
          <w:i w:val="0"/>
          <w:sz w:val="28"/>
        </w:rPr>
        <w:t>[PASAJE DE LA EXPOSICIÓN DE MOTIVOS INVOCADO POR LA AUTORIDAD]</w:t>
      </w:r>
      <w:r>
        <w:rPr>
          <w:rFonts w:ascii="Arial" w:hAnsi="Arial"/>
          <w:b w:val="0"/>
          <w:i w:val="0"/>
          <w:sz w:val="28"/>
        </w:rPr>
        <w:t>, expresa a lo sumo una intención que no llegó al articulado y que, por ello, no puede integrar la base del impuesto.</w:t>
      </w:r>
    </w:p>
    <w:p>
      <w:pPr>
        <w:spacing w:line="360" w:lineRule="auto"/>
        <w:jc w:val="both"/>
      </w:pPr>
      <w:r>
        <w:rPr>
          <w:rFonts w:ascii="Arial" w:hAnsi="Arial"/>
          <w:b w:val="0"/>
          <w:i w:val="0"/>
          <w:sz w:val="28"/>
        </w:rPr>
        <w:t xml:space="preserve">Tampoco es atendible el argumento de que los criterios jurisdiccionales que reconocen la naturaleza no acumulable de los estímulos son anteriores a la ley de ingresos aplicable y habrían quedado superados. La regla que esos pronunciamientos aplican exige una orden expresa para gravar el estímulo; una ley posterior sólo la desplazaría si contuviera ese mandato, y la del año </w:t>
      </w:r>
      <w:r>
        <w:rPr>
          <w:rFonts w:ascii="Arial" w:hAnsi="Arial"/>
          <w:b/>
          <w:i w:val="0"/>
          <w:sz w:val="28"/>
        </w:rPr>
        <w:t>[EJERCICIO FISCAL REVISADO]</w:t>
      </w:r>
      <w:r>
        <w:rPr>
          <w:rFonts w:ascii="Arial" w:hAnsi="Arial"/>
          <w:b w:val="0"/>
          <w:i w:val="0"/>
          <w:sz w:val="28"/>
        </w:rPr>
        <w:t xml:space="preserve"> no lo contiene: se limita a declarar no acumulables ciertos beneficios, lo que confirma el principio en lugar de derogarlo.</w:t>
      </w:r>
    </w:p>
    <w:p>
      <w:pPr>
        <w:spacing w:line="360" w:lineRule="auto"/>
        <w:jc w:val="both"/>
      </w:pPr>
      <w:r>
        <w:rPr>
          <w:rFonts w:ascii="Arial" w:hAnsi="Arial"/>
          <w:b w:val="0"/>
          <w:i w:val="0"/>
          <w:sz w:val="28"/>
        </w:rPr>
        <w:t>Por último, la autoridad podría replicar que las excepciones fiscales son de aplicación estricta y que el último párrafo no puede extenderse a fracciones que no menciona. La réplica confunde el objeto de la controversia: la parte actora no pretende ampliar esa exclusión; lo que demuestra es que no existe norma que ordene sumar el estímulo a la base. Aplicar con rigor la excepción deja, a lo sumo, el supuesto sin regulación, y esa laguna no puede colmarse creando una carga por vía interpretativa.</w:t>
      </w:r>
    </w:p>
    <w:p>
      <w:pPr>
        <w:spacing w:line="360" w:lineRule="auto"/>
        <w:jc w:val="both"/>
      </w:pPr>
      <w:r>
        <w:rPr>
          <w:rFonts w:ascii="Arial" w:hAnsi="Arial"/>
          <w:b w:val="0"/>
          <w:i w:val="0"/>
          <w:sz w:val="28"/>
        </w:rPr>
        <w:t xml:space="preserve">Desvirtuada la premisa, caen sus consecuencias. La multa de </w:t>
      </w:r>
      <w:r>
        <w:rPr>
          <w:rFonts w:ascii="Arial" w:hAnsi="Arial"/>
          <w:b/>
          <w:i w:val="0"/>
          <w:sz w:val="28"/>
        </w:rPr>
        <w:t>[MONTO DE LA MULTA]</w:t>
      </w:r>
      <w:r>
        <w:rPr>
          <w:rFonts w:ascii="Arial" w:hAnsi="Arial"/>
          <w:b w:val="0"/>
          <w:i w:val="0"/>
          <w:sz w:val="28"/>
        </w:rPr>
        <w:t xml:space="preserve"> se impuso porque la declaración se presentó, a juicio de la autoridad, en forma distinta a la que señalan las disposiciones fiscales, y la única discrepancia que se le reprochó fue la falta de acumulación del estímulo; del mismo modo, </w:t>
      </w:r>
      <w:r>
        <w:rPr>
          <w:rFonts w:ascii="Arial" w:hAnsi="Arial"/>
          <w:b/>
          <w:i w:val="0"/>
          <w:sz w:val="28"/>
        </w:rPr>
        <w:t>[EFECTO DETERMINADO EN EL IMPUESTO DEL EJERCICIO]</w:t>
      </w:r>
      <w:r>
        <w:rPr>
          <w:rFonts w:ascii="Arial" w:hAnsi="Arial"/>
          <w:b w:val="0"/>
          <w:i w:val="0"/>
          <w:sz w:val="28"/>
        </w:rPr>
        <w:t xml:space="preserve"> proviene exclusivamente del aumento de la base. Si lo declarado se ajustó a la ley, no hay infracción que sancionar ni diferencia que determinar.</w:t>
      </w:r>
    </w:p>
    <w:p>
      <w:pPr>
        <w:spacing w:line="360" w:lineRule="auto"/>
        <w:jc w:val="both"/>
      </w:pPr>
      <w:r>
        <w:rPr>
          <w:rFonts w:ascii="Arial" w:hAnsi="Arial"/>
          <w:b w:val="0"/>
          <w:i w:val="0"/>
          <w:sz w:val="28"/>
        </w:rPr>
        <w:t xml:space="preserve">La subsunción es directa: la resolución aplicó el último párrafo del apartado de estímulos y el artículo 16, primer párrafo, de la Ley del Impuesto sobre la Renta a un supuesto que ninguno de los dos comprende, y dejó de aplicar el precepto que concede el beneficio en sus términos, con violación de los numerales 14, 16 y 31, fracción IV, constitucionales. Se actualiza así la fracción IV del artículo 51 de la Ley Federal de Procedimiento Contencioso Administrativo, que declara ilegal el acto que </w:t>
      </w:r>
      <w:r>
        <w:rPr>
          <w:rFonts w:ascii="Arial" w:hAnsi="Arial"/>
          <w:b w:val="0"/>
          <w:i/>
          <w:sz w:val="28"/>
        </w:rPr>
        <w:t>“se dictó en contravención de las disposiciones aplicadas o dejó de aplicar las debidas, en cuanto al fondo del asunto”</w:t>
      </w:r>
      <w:r>
        <w:rPr>
          <w:rFonts w:ascii="Arial" w:hAnsi="Arial"/>
          <w:b w:val="0"/>
          <w:i w:val="0"/>
          <w:sz w:val="28"/>
        </w:rPr>
        <w:t>.</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el estímulo por diésel o biodiésel es un subsidio que libera de una parte del impuesto y no un ingreso; ninguna disposición ordena acumularlo; la inferencia a contrario sensu de la autoridad niega el antecedente de una condición suficiente y crea una carga que el legislador no estableció; y la multa y la modificación del resultado del ejercicio dependen por completo de esa premisa inválida.</w:t>
      </w:r>
    </w:p>
    <w:p>
      <w:pPr>
        <w:spacing w:line="360" w:lineRule="auto"/>
        <w:jc w:val="both"/>
      </w:pPr>
      <w:r>
        <w:rPr>
          <w:rFonts w:ascii="Arial" w:hAnsi="Arial"/>
          <w:b w:val="0"/>
          <w:i w:val="0"/>
          <w:sz w:val="28"/>
        </w:rPr>
        <w:t>Por lo expuesto, se solicita declarar fundado este concepto de impugnación y, con fundamento en los artículos 51, fracción IV, y 52, fracción II, de la Ley Federal de Procedimiento Contencioso Administrativo, decretar la nulidad lisa y llana de la resolución impugnada. El vicio es de fondo: el citado numeral 52, en su fracción IV, impone la anulación para efectos en los supuestos de las fracciones II y III del precepto 51, y en los demás casos sólo permite indicar los términos de un nuevo acto cuando corresponda a la pretensión deducida, que en este juicio consiste en que subsista el resultado declarado.</w:t>
      </w:r>
    </w:p>
    <w:p>
      <w:pPr>
        <w:spacing w:line="360" w:lineRule="auto"/>
        <w:jc w:val="both"/>
      </w:pPr>
      <w:r>
        <w:rPr>
          <w:rFonts w:ascii="Arial" w:hAnsi="Arial"/>
          <w:b w:val="0"/>
          <w:i w:val="0"/>
          <w:sz w:val="28"/>
        </w:rPr>
        <w:t xml:space="preserve">Asimismo, conforme al segundo párrafo del artículo 50 del mismo ordenamiento, que obliga a examinar primero las causales </w:t>
      </w:r>
      <w:r>
        <w:rPr>
          <w:rFonts w:ascii="Arial" w:hAnsi="Arial"/>
          <w:b w:val="0"/>
          <w:i/>
          <w:sz w:val="28"/>
        </w:rPr>
        <w:t>“que puedan llevar a declarar la nulidad lisa y llana”</w:t>
      </w:r>
      <w:r>
        <w:rPr>
          <w:rFonts w:ascii="Arial" w:hAnsi="Arial"/>
          <w:b w:val="0"/>
          <w:i w:val="0"/>
          <w:sz w:val="28"/>
        </w:rPr>
        <w:t xml:space="preserve">, se solicita el estudio preferente de este concepto. Sólo en caso de que esa Sala estime indispensable un nuevo pronunciamiento de la autoridad, se pide que precise los términos en que deberá emitirse, con la orden expresa de no considerar ingreso acumulable el monto del estímulo y de reconocer </w:t>
      </w:r>
      <w:r>
        <w:rPr>
          <w:rFonts w:ascii="Arial" w:hAnsi="Arial"/>
          <w:b/>
          <w:i w:val="0"/>
          <w:sz w:val="28"/>
        </w:rPr>
        <w:t>[RESULTADO DECLARADO POR LA PARTE ACTORA]</w:t>
      </w:r>
      <w:r>
        <w:rPr>
          <w:rFonts w:ascii="Arial" w:hAnsi="Arial"/>
          <w:b w:val="0"/>
          <w:i w:val="0"/>
          <w:sz w:val="28"/>
        </w:rPr>
        <w:t>, a fin de evitar la reiteración del criterio anulado.</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 p. 1100.</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DEHESA DÁVILA, Gerardo, </w:t>
      </w:r>
      <w:r>
        <w:rPr>
          <w:rFonts w:ascii="Arial" w:hAnsi="Arial"/>
          <w:i/>
          <w:sz w:val="20"/>
        </w:rPr>
        <w:t>Introducción a la retórica y la argumentación. Elementos de retórica y argumentación para perfeccionar y optimizar el ejercicio de la función jurisdiccional</w:t>
      </w:r>
      <w:r>
        <w:rPr>
          <w:rFonts w:ascii="Arial" w:hAnsi="Arial"/>
          <w:i w:val="0"/>
          <w:sz w:val="20"/>
        </w:rPr>
        <w:t>, 6ª ed., Suprema Corte de Justicia de la Nación, Dirección General de la Coordinación de Compilación y Sistematización de Tesis, México, 2010, p. 528.</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EZQUIAGA GANUZAS, Francisco Javier, </w:t>
      </w:r>
      <w:r>
        <w:rPr>
          <w:rFonts w:ascii="Arial" w:hAnsi="Arial"/>
          <w:i/>
          <w:sz w:val="20"/>
        </w:rPr>
        <w:t>La motivación de las decisiones interpretativas electorales</w:t>
      </w:r>
      <w:r>
        <w:rPr>
          <w:rFonts w:ascii="Arial" w:hAnsi="Arial"/>
          <w:i w:val="0"/>
          <w:sz w:val="20"/>
        </w:rPr>
        <w:t>, Tribunal Electoral del Poder Judicial de la Federación, México, 2012, p. 150.</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EZQUIAGA GANUZAS, op. cit.</w:t>
      </w:r>
      <w:r>
        <w:rPr>
          <w:rFonts w:ascii="Arial" w:hAnsi="Arial"/>
          <w:i w:val="0"/>
          <w:sz w:val="20"/>
        </w:rPr>
        <w:t>, p. 153.</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9.</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EZQUIAGA GANUZAS, Francisco Javier, </w:t>
      </w:r>
      <w:r>
        <w:rPr>
          <w:rFonts w:ascii="Arial" w:hAnsi="Arial"/>
          <w:i/>
          <w:sz w:val="20"/>
        </w:rPr>
        <w:t>La motivación de las decisiones interpretativas electorales</w:t>
      </w:r>
      <w:r>
        <w:rPr>
          <w:rFonts w:ascii="Arial" w:hAnsi="Arial"/>
          <w:i w:val="0"/>
          <w:sz w:val="20"/>
        </w:rPr>
        <w:t>, Tribunal Electoral del Poder Judicial de la Federación, México, 2012, p. 279.</w:t>
      </w:r>
    </w:p>
    <w:p/>
    <w:p>
      <w:r>
        <w:rPr>
          <w:rFonts w:ascii="Arial" w:hAnsi="Arial"/>
          <w:b/>
          <w:sz w:val="22"/>
        </w:rPr>
        <w:t>BIBLIOGRAFÍA</w:t>
      </w:r>
    </w:p>
    <w:p>
      <w:pPr>
        <w:spacing w:after="60"/>
        <w:ind w:left="360" w:hanging="360"/>
        <w:jc w:val="both"/>
      </w:pPr>
      <w:r>
        <w:rPr>
          <w:rFonts w:ascii="Arial" w:hAnsi="Arial"/>
          <w:i w:val="0"/>
          <w:sz w:val="20"/>
        </w:rPr>
        <w:t xml:space="preserve">DEHESA DÁVILA, Gerardo, </w:t>
      </w:r>
      <w:r>
        <w:rPr>
          <w:rFonts w:ascii="Arial" w:hAnsi="Arial"/>
          <w:i/>
          <w:sz w:val="20"/>
        </w:rPr>
        <w:t>Introducción a la retórica y la argumentación. Elementos de retórica y argumentación para perfeccionar y optimizar el ejercicio de la función jurisdiccional</w:t>
      </w:r>
      <w:r>
        <w:rPr>
          <w:rFonts w:ascii="Arial" w:hAnsi="Arial"/>
          <w:i w:val="0"/>
          <w:sz w:val="20"/>
        </w:rPr>
        <w:t>, 6ª ed., Suprema Corte de Justicia de la Nación, Dirección General de la Coordinación de Compilación y Sistematización de Tesis, México, 2010.</w:t>
      </w:r>
    </w:p>
    <w:p>
      <w:pPr>
        <w:spacing w:after="60"/>
        <w:ind w:left="360" w:hanging="360"/>
        <w:jc w:val="both"/>
      </w:pPr>
      <w:r>
        <w:rPr>
          <w:rFonts w:ascii="Arial" w:hAnsi="Arial"/>
          <w:i w:val="0"/>
          <w:sz w:val="20"/>
        </w:rPr>
        <w:t xml:space="preserve">EZQUIAGA GANUZAS, Francisco Javier, </w:t>
      </w:r>
      <w:r>
        <w:rPr>
          <w:rFonts w:ascii="Arial" w:hAnsi="Arial"/>
          <w:i/>
          <w:sz w:val="20"/>
        </w:rPr>
        <w:t>La motivación de las decisiones interpretativas electorales</w:t>
      </w:r>
      <w:r>
        <w:rPr>
          <w:rFonts w:ascii="Arial" w:hAnsi="Arial"/>
          <w:i w:val="0"/>
          <w:sz w:val="20"/>
        </w:rPr>
        <w:t>, Tribunal Electoral del Poder Judicial de la Federación, México, 2012.</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