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EXCESO DE ATRIBUCIONES AL REQUERIR INFORMACIÓN CON DATOS Y FORMATOS ESPECÍFICOS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Antes de llenar nada, reúne cuatro documentos: el oficio de requerimiento con que inició la fiscalización, tu escrito de respuesta y los acuses de la documentación que sí exhibiste, la resolución determinante del crédito y la resolución que recayó al recurso de revocación.</w:t>
      </w:r>
    </w:p>
    <w:p>
      <w:pPr>
        <w:spacing w:line="360" w:lineRule="auto"/>
        <w:jc w:val="both"/>
      </w:pPr>
      <w:r>
        <w:rPr>
          <w:rFonts w:ascii="Arial" w:hAnsi="Arial"/>
          <w:b w:val="0"/>
          <w:i w:val="0"/>
          <w:sz w:val="24"/>
        </w:rPr>
        <w:t>Subraya en el requerimiento las frases que exigen un formato, un desglose o un dato específico: ésas son las que se transcriben en el apartado IV, porque el concepto se gana con la letra del oficio y no con adjetivos. Después ubica, en la motivación de la liquidación, los párrafos que se apoyan en la información obtenida con ese requerimiento o en su falta: ahí está la relación de causalidad que acredita la trascendencia.</w:t>
      </w:r>
    </w:p>
    <w:p>
      <w:pPr>
        <w:spacing w:line="360" w:lineRule="auto"/>
        <w:jc w:val="both"/>
      </w:pPr>
      <w:r>
        <w:rPr>
          <w:rFonts w:ascii="Arial" w:hAnsi="Arial"/>
          <w:b w:val="0"/>
          <w:i w:val="0"/>
          <w:sz w:val="24"/>
        </w:rPr>
        <w:t>Impugna de manera destacada tanto la resolución del recurso como la determinante, para que la nulidad alcance a las dos, y conserva el apartado subsidiario de la fracción III aunque invoques la fracción I. Presenta la demanda dentro del plazo de treinta días contado desde que surtió efectos la notificación.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[SALA REGIONAL COMPETENTE]</w:t>
      </w:r>
      <w:r>
        <w:rPr>
          <w:rFonts w:ascii="Arial" w:hAnsi="Arial"/>
          <w:b w:val="0"/>
          <w:i w:val="0"/>
          <w:sz w:val="24"/>
        </w:rPr>
        <w:t>: la denominación completa de la Sala ante la que presentas la demanda.</w:t>
      </w:r>
    </w:p>
    <w:p>
      <w:pPr>
        <w:spacing w:line="360" w:lineRule="auto"/>
        <w:jc w:val="both"/>
      </w:pPr>
      <w:r>
        <w:rPr>
          <w:rFonts w:ascii="Arial" w:hAnsi="Arial"/>
          <w:b/>
          <w:i w:val="0"/>
          <w:sz w:val="24"/>
        </w:rPr>
        <w:t>[NOMBRE DE LA PARTE ACTORA]</w:t>
      </w:r>
      <w:r>
        <w:rPr>
          <w:rFonts w:ascii="Arial" w:hAnsi="Arial"/>
          <w:b w:val="0"/>
          <w:i w:val="0"/>
          <w:sz w:val="24"/>
        </w:rPr>
        <w:t>: la persona física o moral revisada que promueve el juicio.</w:t>
      </w:r>
    </w:p>
    <w:p>
      <w:pPr>
        <w:spacing w:line="360" w:lineRule="auto"/>
        <w:jc w:val="both"/>
      </w:pPr>
      <w:r>
        <w:rPr>
          <w:rFonts w:ascii="Arial" w:hAnsi="Arial"/>
          <w:b/>
          <w:i w:val="0"/>
          <w:sz w:val="24"/>
        </w:rPr>
        <w:t>[AUTORIDAD FISCALIZADORA]</w:t>
      </w:r>
      <w:r>
        <w:rPr>
          <w:rFonts w:ascii="Arial" w:hAnsi="Arial"/>
          <w:b w:val="0"/>
          <w:i w:val="0"/>
          <w:sz w:val="24"/>
        </w:rPr>
        <w:t>: la denominación exacta de la unidad administrativa que formuló el requerimiento y determinó el crédito, como aparece en el oficio.</w:t>
      </w:r>
    </w:p>
    <w:p>
      <w:pPr>
        <w:spacing w:line="360" w:lineRule="auto"/>
        <w:jc w:val="both"/>
      </w:pPr>
      <w:r>
        <w:rPr>
          <w:rFonts w:ascii="Arial" w:hAnsi="Arial"/>
          <w:b/>
          <w:i w:val="0"/>
          <w:sz w:val="24"/>
        </w:rPr>
        <w:t>[AUTORIDAD QUE RESOLVIÓ EL RECURSO DE REVOCACIÓN]</w:t>
      </w:r>
      <w:r>
        <w:rPr>
          <w:rFonts w:ascii="Arial" w:hAnsi="Arial"/>
          <w:b w:val="0"/>
          <w:i w:val="0"/>
          <w:sz w:val="24"/>
        </w:rPr>
        <w:t>: la administración desconcentrada o unidad que emitió la resolución del recurso.</w:t>
      </w:r>
    </w:p>
    <w:p>
      <w:pPr>
        <w:spacing w:line="360" w:lineRule="auto"/>
        <w:jc w:val="both"/>
      </w:pPr>
      <w:r>
        <w:rPr>
          <w:rFonts w:ascii="Arial" w:hAnsi="Arial"/>
          <w:b/>
          <w:i w:val="0"/>
          <w:sz w:val="24"/>
        </w:rPr>
        <w:t>[OFICIO Y FECHA DE LA RESOLUCIÓN IMPUGNADA]</w:t>
      </w:r>
      <w:r>
        <w:rPr>
          <w:rFonts w:ascii="Arial" w:hAnsi="Arial"/>
          <w:b w:val="0"/>
          <w:i w:val="0"/>
          <w:sz w:val="24"/>
        </w:rPr>
        <w:t>: número de oficio y fecha de la resolución del recurso de revocación.</w:t>
      </w:r>
    </w:p>
    <w:p>
      <w:pPr>
        <w:spacing w:line="360" w:lineRule="auto"/>
        <w:jc w:val="both"/>
      </w:pPr>
      <w:r>
        <w:rPr>
          <w:rFonts w:ascii="Arial" w:hAnsi="Arial"/>
          <w:b/>
          <w:i w:val="0"/>
          <w:sz w:val="24"/>
        </w:rPr>
        <w:t>[OFICIO Y FECHA DE LA RESOLUCIÓN DETERMINANTE DEL CRÉDITO]</w:t>
      </w:r>
      <w:r>
        <w:rPr>
          <w:rFonts w:ascii="Arial" w:hAnsi="Arial"/>
          <w:b w:val="0"/>
          <w:i w:val="0"/>
          <w:sz w:val="24"/>
        </w:rPr>
        <w:t>: número de oficio y fecha de la liquidación.</w:t>
      </w:r>
    </w:p>
    <w:p>
      <w:pPr>
        <w:spacing w:line="360" w:lineRule="auto"/>
        <w:jc w:val="both"/>
      </w:pPr>
      <w:r>
        <w:rPr>
          <w:rFonts w:ascii="Arial" w:hAnsi="Arial"/>
          <w:b/>
          <w:i w:val="0"/>
          <w:sz w:val="24"/>
        </w:rPr>
        <w:t>[OFICIO Y FECHA DEL REQUERIMIENTO]</w:t>
      </w:r>
      <w:r>
        <w:rPr>
          <w:rFonts w:ascii="Arial" w:hAnsi="Arial"/>
          <w:b w:val="0"/>
          <w:i w:val="0"/>
          <w:sz w:val="24"/>
        </w:rPr>
        <w:t>: número de oficio y fecha del requerimiento con el que inició la fiscalización; si hubo varios, señala cada uno.</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te notificó la resolución del recurso, para acreditar la oportunidad.</w:t>
      </w:r>
    </w:p>
    <w:p>
      <w:pPr>
        <w:spacing w:line="360" w:lineRule="auto"/>
        <w:jc w:val="both"/>
      </w:pPr>
      <w:r>
        <w:rPr>
          <w:rFonts w:ascii="Arial" w:hAnsi="Arial"/>
          <w:b/>
          <w:i w:val="0"/>
          <w:sz w:val="24"/>
        </w:rPr>
        <w:t>[EJERCICIO FISCAL REVISADO]</w:t>
      </w:r>
      <w:r>
        <w:rPr>
          <w:rFonts w:ascii="Arial" w:hAnsi="Arial"/>
          <w:b w:val="0"/>
          <w:i w:val="0"/>
          <w:sz w:val="24"/>
        </w:rPr>
        <w:t>: el ejercicio o periodo que abarcó la revisión.</w:t>
      </w:r>
    </w:p>
    <w:p>
      <w:pPr>
        <w:spacing w:line="360" w:lineRule="auto"/>
        <w:jc w:val="both"/>
      </w:pPr>
      <w:r>
        <w:rPr>
          <w:rFonts w:ascii="Arial" w:hAnsi="Arial"/>
          <w:b/>
          <w:i w:val="0"/>
          <w:sz w:val="24"/>
        </w:rPr>
        <w:t>[CONTRIBUCIONES Y MONTO DETERMINADOS]</w:t>
      </w:r>
      <w:r>
        <w:rPr>
          <w:rFonts w:ascii="Arial" w:hAnsi="Arial"/>
          <w:b w:val="0"/>
          <w:i w:val="0"/>
          <w:sz w:val="24"/>
        </w:rPr>
        <w:t>: los conceptos y el importe del crédito, tal como los enuncia la liquidación.</w:t>
      </w:r>
    </w:p>
    <w:p>
      <w:pPr>
        <w:spacing w:line="360" w:lineRule="auto"/>
        <w:jc w:val="both"/>
      </w:pPr>
      <w:r>
        <w:rPr>
          <w:rFonts w:ascii="Arial" w:hAnsi="Arial"/>
          <w:b/>
          <w:i w:val="0"/>
          <w:sz w:val="24"/>
        </w:rPr>
        <w:t>[TRANSCRIPCIÓN DEL REQUERIMIENTO EXCESIVO]</w:t>
      </w:r>
      <w:r>
        <w:rPr>
          <w:rFonts w:ascii="Arial" w:hAnsi="Arial"/>
          <w:b w:val="0"/>
          <w:i w:val="0"/>
          <w:sz w:val="24"/>
        </w:rPr>
        <w:t>: la transcripción literal de las porciones del oficio en que se exigen datos, desglose o características específicas.</w:t>
      </w:r>
    </w:p>
    <w:p>
      <w:pPr>
        <w:spacing w:line="360" w:lineRule="auto"/>
        <w:jc w:val="both"/>
      </w:pPr>
      <w:r>
        <w:rPr>
          <w:rFonts w:ascii="Arial" w:hAnsi="Arial"/>
          <w:b/>
          <w:i w:val="0"/>
          <w:sz w:val="24"/>
        </w:rPr>
        <w:t>[DATOS O CARACTERÍSTICAS ESPECÍFICAS EXIGIDAS]</w:t>
      </w:r>
      <w:r>
        <w:rPr>
          <w:rFonts w:ascii="Arial" w:hAnsi="Arial"/>
          <w:b w:val="0"/>
          <w:i w:val="0"/>
          <w:sz w:val="24"/>
        </w:rPr>
        <w:t>: el resumen de esas exigencias en una frase, para el apartado de síntesis.</w:t>
      </w:r>
    </w:p>
    <w:p>
      <w:pPr>
        <w:spacing w:line="360" w:lineRule="auto"/>
        <w:jc w:val="both"/>
      </w:pPr>
      <w:r>
        <w:rPr>
          <w:rFonts w:ascii="Arial" w:hAnsi="Arial"/>
          <w:b/>
          <w:i w:val="0"/>
          <w:sz w:val="24"/>
        </w:rPr>
        <w:t>[DOCUMENTACIÓN EFECTIVAMENTE EXHIBIDA]</w:t>
      </w:r>
      <w:r>
        <w:rPr>
          <w:rFonts w:ascii="Arial" w:hAnsi="Arial"/>
          <w:b w:val="0"/>
          <w:i w:val="0"/>
          <w:sz w:val="24"/>
        </w:rPr>
        <w:t>: lo que sí entregaste y cómo lo entregaste, con la referencia a tus acuses.</w:t>
      </w:r>
    </w:p>
    <w:p>
      <w:pPr>
        <w:spacing w:line="360" w:lineRule="auto"/>
        <w:jc w:val="both"/>
      </w:pPr>
      <w:r>
        <w:rPr>
          <w:rFonts w:ascii="Arial" w:hAnsi="Arial"/>
          <w:b/>
          <w:i w:val="0"/>
          <w:sz w:val="24"/>
        </w:rPr>
        <w:t>[RUBROS DE LA LIQUIDACIÓN QUE SE APOYAN EN EL REQUERIMIENTO]</w:t>
      </w:r>
      <w:r>
        <w:rPr>
          <w:rFonts w:ascii="Arial" w:hAnsi="Arial"/>
          <w:b w:val="0"/>
          <w:i w:val="0"/>
          <w:sz w:val="24"/>
        </w:rPr>
        <w:t>: los conceptos determinados cuya motivación remite a la información obtenida con el requerimiento ilegal o a su ausencia.</w:t>
      </w:r>
    </w:p>
    <w:p/>
    <w:p>
      <w:pPr>
        <w:spacing w:line="360" w:lineRule="auto"/>
        <w:jc w:val="both"/>
      </w:pPr>
      <w:r>
        <w:rPr>
          <w:rFonts w:ascii="Arial" w:hAnsi="Arial"/>
          <w:b/>
          <w:sz w:val="28"/>
        </w:rPr>
        <w:t>[NÚMERO ORDINAL DEL CONCEPTO] CONCEPTO DE IMPUGNACIÓN. Exceso de atribuciones de la fiscalizadora: el artículo 42, fracción II, del Código Fiscal de la Federación la faculta para requerir la contabilidad y los datos, documentos e informes necesarios para su revisión, no para prescribir la forma y los datos con que deben elaborarse, de modo que el requerimiento inicial, el procedimiento y la liquidación que de él derivan son ilegales conforme al artículo 51, fracciones I y III, de la Ley Federal de Procedimiento Contencioso Administrativo, y la resolución que confirmó la liquidación lo es conforme a la fracción IV.</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w:t>
      </w:r>
      <w:r>
        <w:rPr>
          <w:rFonts w:ascii="Arial" w:hAnsi="Arial"/>
          <w:b/>
          <w:i w:val="0"/>
          <w:sz w:val="28"/>
        </w:rPr>
        <w:t>[AUTORIDAD FISCALIZADORA]</w:t>
      </w:r>
      <w:r>
        <w:rPr>
          <w:rFonts w:ascii="Arial" w:hAnsi="Arial"/>
          <w:b w:val="0"/>
          <w:i w:val="0"/>
          <w:sz w:val="28"/>
        </w:rPr>
        <w:t xml:space="preserve">, al tramitar el procedimiento de fiscalización del que derivó la resolución determinante contenida en el oficio </w:t>
      </w:r>
      <w:r>
        <w:rPr>
          <w:rFonts w:ascii="Arial" w:hAnsi="Arial"/>
          <w:b/>
          <w:i w:val="0"/>
          <w:sz w:val="28"/>
        </w:rPr>
        <w:t>[OFICIO Y FECHA DE LA RESOLUCIÓN DETERMINANTE DEL CRÉDITO]</w:t>
      </w:r>
      <w:r>
        <w:rPr>
          <w:rFonts w:ascii="Arial" w:hAnsi="Arial"/>
          <w:b w:val="0"/>
          <w:i w:val="0"/>
          <w:sz w:val="28"/>
        </w:rPr>
        <w:t xml:space="preserve">, ejerció una atribución que ninguna norma le confiere: obligó a </w:t>
      </w:r>
      <w:r>
        <w:rPr>
          <w:rFonts w:ascii="Arial" w:hAnsi="Arial"/>
          <w:b/>
          <w:i w:val="0"/>
          <w:sz w:val="28"/>
        </w:rPr>
        <w:t>[NOMBRE DE LA PARTE ACTORA]</w:t>
      </w:r>
      <w:r>
        <w:rPr>
          <w:rFonts w:ascii="Arial" w:hAnsi="Arial"/>
          <w:b w:val="0"/>
          <w:i w:val="0"/>
          <w:sz w:val="28"/>
        </w:rPr>
        <w:t xml:space="preserve"> a elaborar y exhibir información y documentación con datos, desglose y características específicas, a saber, </w:t>
      </w:r>
      <w:r>
        <w:rPr>
          <w:rFonts w:ascii="Arial" w:hAnsi="Arial"/>
          <w:b/>
          <w:i w:val="0"/>
          <w:sz w:val="28"/>
        </w:rPr>
        <w:t>[DATOS O CARACTERÍSTICAS ESPECÍFICAS EXIGIDAS]</w:t>
      </w:r>
      <w:r>
        <w:rPr>
          <w:rFonts w:ascii="Arial" w:hAnsi="Arial"/>
          <w:b w:val="0"/>
          <w:i w:val="0"/>
          <w:sz w:val="28"/>
        </w:rPr>
        <w:t>, que no forman parte de su contabilidad ni existían antes del requerimiento.</w:t>
      </w:r>
    </w:p>
    <w:p>
      <w:pPr>
        <w:spacing w:line="360" w:lineRule="auto"/>
        <w:jc w:val="both"/>
      </w:pPr>
      <w:r>
        <w:rPr>
          <w:rFonts w:ascii="Arial" w:hAnsi="Arial"/>
          <w:b w:val="0"/>
          <w:i w:val="0"/>
          <w:sz w:val="28"/>
        </w:rPr>
        <w:t xml:space="preserve">La premisa es sencilla y se desprende de la ley. El artículo 42, fracción II, del Código Fiscal de la Federación autoriza a la autoridad a requerir la contabilidad y a pedir que se le proporcionen </w:t>
      </w:r>
      <w:r>
        <w:rPr>
          <w:rFonts w:ascii="Arial" w:hAnsi="Arial"/>
          <w:b w:val="0"/>
          <w:i/>
          <w:sz w:val="28"/>
        </w:rPr>
        <w:t>“los datos, otros documentos o informes que se les requieran a efecto de llevar a cabo su revisión”</w:t>
      </w:r>
      <w:r>
        <w:rPr>
          <w:rFonts w:ascii="Arial" w:hAnsi="Arial"/>
          <w:b w:val="0"/>
          <w:i w:val="0"/>
          <w:sz w:val="28"/>
        </w:rPr>
        <w:t>. Esa habilitación tiene por objeto que la autoridad conozca la contabilidad tal como la ley obliga a llevarla; no la convierte en legisladora de la forma en que el contribuyente debe rendirla.</w:t>
      </w:r>
    </w:p>
    <w:p>
      <w:pPr>
        <w:spacing w:line="360" w:lineRule="auto"/>
        <w:jc w:val="both"/>
      </w:pPr>
      <w:r>
        <w:rPr>
          <w:rFonts w:ascii="Arial" w:hAnsi="Arial"/>
          <w:b w:val="0"/>
          <w:i w:val="0"/>
          <w:sz w:val="28"/>
        </w:rPr>
        <w:t>La consecuencia es que el requerimiento nació viciado y contaminó todo lo que de él derivó. Un procedimiento de fiscalización que arranca con el ejercicio de una atribución inexistente no puede producir una liquidación válida, y la resolución que después confirmó esa liquidación en el recurso de revocación aprecia los hechos de manera equivocada al tener por legal lo que no lo era.</w:t>
      </w:r>
    </w:p>
    <w:p>
      <w:pPr>
        <w:spacing w:line="360" w:lineRule="auto"/>
        <w:jc w:val="both"/>
      </w:pPr>
      <w:r>
        <w:rPr>
          <w:rFonts w:ascii="Arial" w:hAnsi="Arial"/>
          <w:b w:val="0"/>
          <w:i w:val="0"/>
          <w:sz w:val="28"/>
        </w:rPr>
        <w:t>Si la premisa se respeta, la conclusión es forzosa: se actualizan las causales de ilegalidad previstas en el artículo 51, fracciones I, III y IV, de la Ley Federal de Procedimiento Contencioso Administrativo y procede declarar la nulidad lisa y llana de la resolución impugnada y de la originalmente recurrida, conforme al artículo 52, fracción II,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el oficio </w:t>
      </w:r>
      <w:r>
        <w:rPr>
          <w:rFonts w:ascii="Arial" w:hAnsi="Arial"/>
          <w:b/>
          <w:i w:val="0"/>
          <w:sz w:val="28"/>
        </w:rPr>
        <w:t>[OFICIO Y FECHA DE LA RESOLUCIÓN IMPUGNADA]</w:t>
      </w:r>
      <w:r>
        <w:rPr>
          <w:rFonts w:ascii="Arial" w:hAnsi="Arial"/>
          <w:b w:val="0"/>
          <w:i w:val="0"/>
          <w:sz w:val="28"/>
        </w:rPr>
        <w:t xml:space="preserve">, emitido por la </w:t>
      </w:r>
      <w:r>
        <w:rPr>
          <w:rFonts w:ascii="Arial" w:hAnsi="Arial"/>
          <w:b/>
          <w:i w:val="0"/>
          <w:sz w:val="28"/>
        </w:rPr>
        <w:t>[AUTORIDAD QUE RESOLVIÓ EL RECURSO DE REVOCACIÓN]</w:t>
      </w:r>
      <w:r>
        <w:rPr>
          <w:rFonts w:ascii="Arial" w:hAnsi="Arial"/>
          <w:b w:val="0"/>
          <w:i w:val="0"/>
          <w:sz w:val="28"/>
        </w:rPr>
        <w:t xml:space="preserve">, que confirmó la resolución contenida en el oficio </w:t>
      </w:r>
      <w:r>
        <w:rPr>
          <w:rFonts w:ascii="Arial" w:hAnsi="Arial"/>
          <w:b/>
          <w:i w:val="0"/>
          <w:sz w:val="28"/>
        </w:rPr>
        <w:t>[OFICIO Y FECHA DE LA RESOLUCIÓN DETERMINANTE DEL CRÉDITO]</w:t>
      </w:r>
      <w:r>
        <w:rPr>
          <w:rFonts w:ascii="Arial" w:hAnsi="Arial"/>
          <w:b w:val="0"/>
          <w:i w:val="0"/>
          <w:sz w:val="28"/>
        </w:rPr>
        <w:t xml:space="preserve">, por la cual la </w:t>
      </w:r>
      <w:r>
        <w:rPr>
          <w:rFonts w:ascii="Arial" w:hAnsi="Arial"/>
          <w:b/>
          <w:i w:val="0"/>
          <w:sz w:val="28"/>
        </w:rPr>
        <w:t>[AUTORIDAD FISCALIZADORA]</w:t>
      </w:r>
      <w:r>
        <w:rPr>
          <w:rFonts w:ascii="Arial" w:hAnsi="Arial"/>
          <w:b w:val="0"/>
          <w:i w:val="0"/>
          <w:sz w:val="28"/>
        </w:rPr>
        <w:t xml:space="preserve"> determinó a cargo de la parte actora </w:t>
      </w:r>
      <w:r>
        <w:rPr>
          <w:rFonts w:ascii="Arial" w:hAnsi="Arial"/>
          <w:b/>
          <w:i w:val="0"/>
          <w:sz w:val="28"/>
        </w:rPr>
        <w:t>[CONTRIBUCIONES Y MONTO DETERMINADOS]</w:t>
      </w:r>
      <w:r>
        <w:rPr>
          <w:rFonts w:ascii="Arial" w:hAnsi="Arial"/>
          <w:b w:val="0"/>
          <w:i w:val="0"/>
          <w:sz w:val="28"/>
        </w:rPr>
        <w:t xml:space="preserve">, por el ejercicio fiscal </w:t>
      </w:r>
      <w:r>
        <w:rPr>
          <w:rFonts w:ascii="Arial" w:hAnsi="Arial"/>
          <w:b/>
          <w:i w:val="0"/>
          <w:sz w:val="28"/>
        </w:rPr>
        <w:t>[EJERCICIO FISCAL REVISADO]</w:t>
      </w:r>
      <w:r>
        <w:rPr>
          <w:rFonts w:ascii="Arial" w:hAnsi="Arial"/>
          <w:b w:val="0"/>
          <w:i w:val="0"/>
          <w:sz w:val="28"/>
        </w:rPr>
        <w:t>. Ambas resoluciones se impugnan de manera destacada e independiente.</w:t>
      </w:r>
    </w:p>
    <w:p>
      <w:pPr>
        <w:spacing w:line="360" w:lineRule="auto"/>
        <w:jc w:val="both"/>
      </w:pPr>
      <w:r>
        <w:rPr>
          <w:rFonts w:ascii="Arial" w:hAnsi="Arial"/>
          <w:b w:val="0"/>
          <w:i w:val="0"/>
          <w:sz w:val="28"/>
        </w:rPr>
        <w:t xml:space="preserve">El acto que origina el vicio es el requerimiento contenido en el oficio </w:t>
      </w:r>
      <w:r>
        <w:rPr>
          <w:rFonts w:ascii="Arial" w:hAnsi="Arial"/>
          <w:b/>
          <w:i w:val="0"/>
          <w:sz w:val="28"/>
        </w:rPr>
        <w:t>[OFICIO Y FECHA DEL REQUERIMIENTO]</w:t>
      </w:r>
      <w:r>
        <w:rPr>
          <w:rFonts w:ascii="Arial" w:hAnsi="Arial"/>
          <w:b w:val="0"/>
          <w:i w:val="0"/>
          <w:sz w:val="28"/>
        </w:rPr>
        <w:t>, con el que inició el procedimiento de fiscalización y en el que la autoridad exigió la información y la documentación con los datos y características que se transcriben más adelante.</w:t>
      </w:r>
    </w:p>
    <w:p>
      <w:pPr>
        <w:spacing w:line="360" w:lineRule="auto"/>
        <w:jc w:val="both"/>
      </w:pPr>
      <w:r>
        <w:rPr>
          <w:rFonts w:ascii="Arial" w:hAnsi="Arial"/>
          <w:b w:val="0"/>
          <w:i w:val="0"/>
          <w:sz w:val="28"/>
        </w:rPr>
        <w:t>Las normas cuya inobservancia se plantea son el artículo 16, primer párrafo, de la Constitución Política de los Estados Unidos Mexicanos, que exige mandamiento escrito de autoridad competente que funde y motive la causa legal del procedimiento; los artículos 28 y 42, fracción II, del Código Fiscal de la Federación, que delimitan la contabilidad y la facultad de requerirla; y el artículo 51, fracciones I, III y IV, de la Ley Federal de Procedimiento Contencioso Administrativo.</w:t>
      </w:r>
    </w:p>
    <w:p>
      <w:pPr>
        <w:spacing w:line="360" w:lineRule="auto"/>
        <w:jc w:val="both"/>
      </w:pPr>
      <w:r>
        <w:rPr>
          <w:rFonts w:ascii="Arial" w:hAnsi="Arial"/>
          <w:b w:val="0"/>
          <w:i w:val="0"/>
          <w:sz w:val="28"/>
        </w:rPr>
        <w:t>La pretensión es la nulidad lisa y llana de ambas resoluciones. El perjuicio es concreto y cuantificable: la parte actora fue constreñida a elaborar documentos que la ley no la obliga a tener y, sobre el resultado de ese requerimiento ilegal, se le determinó un crédito fiscal exigible.</w:t>
      </w:r>
    </w:p>
    <w:p>
      <w:pPr>
        <w:spacing w:line="360" w:lineRule="auto"/>
        <w:jc w:val="both"/>
      </w:pPr>
      <w:r>
        <w:rPr>
          <w:rFonts w:ascii="Arial" w:hAnsi="Arial"/>
          <w:b w:val="0"/>
          <w:i w:val="0"/>
          <w:sz w:val="28"/>
        </w:rPr>
        <w:t xml:space="preserve">La demanda se presenta dentro del plazo de treinta días contado desde que surtió efectos la notificación practicada el </w:t>
      </w:r>
      <w:r>
        <w:rPr>
          <w:rFonts w:ascii="Arial" w:hAnsi="Arial"/>
          <w:b/>
          <w:i w:val="0"/>
          <w:sz w:val="28"/>
        </w:rPr>
        <w:t>[FECHA DE NOTIFICACIÓN DE LA RESOLUCIÓN IMPUGNADA]</w:t>
      </w:r>
      <w:r>
        <w:rPr>
          <w:rFonts w:ascii="Arial" w:hAnsi="Arial"/>
          <w:b w:val="0"/>
          <w:i w:val="0"/>
          <w:sz w:val="28"/>
        </w:rPr>
        <w:t>; plazo que prevé el artículo 13, fracción I, de la Ley Federal de Procedimiento Contencioso Administrativo y que rige también en la vía sumaria, conforme a su artículo 58-2, párrafo tercero.</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Conviene partir del principio que gobierna toda la actuación administrativa. El artículo 16, primer párrafo, de la Constitución dispone que nadie puede ser molestado en su persona, familia, domicilio, papeles o posesiones sino en virtud de mandamiento escrito de la autoridad competente que funde y motive la causa legal del procedimiento. De ahí se sigue una regla de doble filo: la autoridad no puede actuar sin norma habilitante, y tampoco puede actuar más allá de la norma que la habilita.</w:t>
      </w:r>
    </w:p>
    <w:p>
      <w:pPr>
        <w:spacing w:line="360" w:lineRule="auto"/>
        <w:jc w:val="both"/>
      </w:pPr>
      <w:r>
        <w:rPr>
          <w:rFonts w:ascii="Arial" w:hAnsi="Arial"/>
          <w:b w:val="0"/>
          <w:i w:val="0"/>
          <w:sz w:val="28"/>
        </w:rPr>
        <w:t>La doctrina explica por qué la competencia no es un requisito adjetivo, sino constitutivo. La naturaleza de acto de autoridad depende precisamente de que lo emita un órgano previsto en el ordenamiento y con competencia legal para su emisión, de modo que es la previsión normativa de la competencia pública lo que confiere al acto esa calidad.</w:t>
      </w:r>
      <w:r>
        <w:rPr>
          <w:rFonts w:ascii="Arial" w:hAnsi="Arial"/>
          <w:vertAlign w:val="superscript"/>
        </w:rPr>
        <w:t>1</w:t>
      </w:r>
      <w:r>
        <w:rPr>
          <w:rFonts w:ascii="Arial" w:hAnsi="Arial"/>
          <w:b w:val="0"/>
          <w:i w:val="0"/>
          <w:sz w:val="28"/>
        </w:rPr>
        <w:t xml:space="preserve"> Sin norma que atribuya la potestad ejercida, lo actuado no es acto de autoridad sino imposición de hecho, y de una imposición de hecho no puede nacer una obligación tributaria exigible.</w:t>
      </w:r>
    </w:p>
    <w:p>
      <w:pPr>
        <w:spacing w:line="360" w:lineRule="auto"/>
        <w:jc w:val="both"/>
      </w:pPr>
      <w:r>
        <w:rPr>
          <w:rFonts w:ascii="Arial" w:hAnsi="Arial"/>
          <w:b w:val="0"/>
          <w:i w:val="0"/>
          <w:sz w:val="28"/>
        </w:rPr>
        <w:t>Al Estado constitucional le son inherentes, por lo mismo, la prohibición de arbitrariedad y la prohibición de exceso, que obligan a los operadores del poder público a justificar sus decisiones con razones objetivas y no por mero voluntarismo.</w:t>
      </w:r>
      <w:r>
        <w:rPr>
          <w:rFonts w:ascii="Arial" w:hAnsi="Arial"/>
          <w:vertAlign w:val="superscript"/>
        </w:rPr>
        <w:t>2</w:t>
      </w:r>
      <w:r>
        <w:rPr>
          <w:rFonts w:ascii="Arial" w:hAnsi="Arial"/>
          <w:b w:val="0"/>
          <w:i w:val="0"/>
          <w:sz w:val="28"/>
        </w:rPr>
        <w:t xml:space="preserve"> El exceso de atribuciones es, en rigor, una forma de arbitrariedad: la autoridad conserva el nombre de una facultad real, pero la estira hasta alcanzar un contenido que la norma no previó.</w:t>
      </w:r>
    </w:p>
    <w:p>
      <w:pPr>
        <w:spacing w:line="360" w:lineRule="auto"/>
        <w:jc w:val="both"/>
      </w:pPr>
      <w:r>
        <w:rPr>
          <w:rFonts w:ascii="Arial" w:hAnsi="Arial"/>
          <w:b w:val="0"/>
          <w:i w:val="0"/>
          <w:sz w:val="28"/>
        </w:rPr>
        <w:t>Ese estiramiento está vedado por una razón de método interpretativo. Las normas que confieren potestades de molestia no admiten lectura extensiva, y la técnica que corresponde a esa lectura es el argumento a contrario, variante de la interpretación literal entendida como interpretación no correctora, que se alega precisamente en favor de no extender el enunciado a supuestos que no contempla.</w:t>
      </w:r>
      <w:r>
        <w:rPr>
          <w:rFonts w:ascii="Arial" w:hAnsi="Arial"/>
          <w:vertAlign w:val="superscript"/>
        </w:rPr>
        <w:t>3</w:t>
      </w:r>
      <w:r>
        <w:rPr>
          <w:rFonts w:ascii="Arial" w:hAnsi="Arial"/>
          <w:b w:val="0"/>
          <w:i w:val="0"/>
          <w:sz w:val="28"/>
        </w:rPr>
        <w:t xml:space="preserve"> Si el legislador dijo </w:t>
      </w:r>
      <w:r>
        <w:rPr>
          <w:rFonts w:ascii="Arial" w:hAnsi="Arial"/>
          <w:b w:val="0"/>
          <w:i/>
          <w:sz w:val="28"/>
        </w:rPr>
        <w:t>“la contabilidad”</w:t>
      </w:r>
      <w:r>
        <w:rPr>
          <w:rFonts w:ascii="Arial" w:hAnsi="Arial"/>
          <w:b w:val="0"/>
          <w:i w:val="0"/>
          <w:sz w:val="28"/>
        </w:rPr>
        <w:t xml:space="preserve"> y </w:t>
      </w:r>
      <w:r>
        <w:rPr>
          <w:rFonts w:ascii="Arial" w:hAnsi="Arial"/>
          <w:b w:val="0"/>
          <w:i/>
          <w:sz w:val="28"/>
        </w:rPr>
        <w:t>“los datos, otros documentos o informes”</w:t>
      </w:r>
      <w:r>
        <w:rPr>
          <w:rFonts w:ascii="Arial" w:hAnsi="Arial"/>
          <w:b w:val="0"/>
          <w:i w:val="0"/>
          <w:sz w:val="28"/>
        </w:rPr>
        <w:t>, dijo lo que la autoridad puede pedir; no dijo, ni permite deducir, cómo debe estar hecho lo que se pide.</w:t>
      </w:r>
    </w:p>
    <w:p>
      <w:pPr>
        <w:spacing w:line="360" w:lineRule="auto"/>
        <w:jc w:val="both"/>
      </w:pPr>
      <w:r>
        <w:rPr>
          <w:rFonts w:ascii="Arial" w:hAnsi="Arial"/>
          <w:b w:val="0"/>
          <w:i w:val="0"/>
          <w:sz w:val="28"/>
        </w:rPr>
        <w:t>Descendamos al precepto. El artículo 42, fracción II, del Código Fiscal de la Federación regula la revisión de gabinete y su redacción permite identificar dos objetos distintos de solicitud: por un lado la contabilidad; por otro, los datos, otros documentos o informes necesarios para llevar a cabo la revisión. En ambos casos la facultad es de requerimiento y de examen, no de diseño: la autoridad puede pedir lo que existe y debe existir, y valorarlo como lo encuentre.</w:t>
      </w:r>
    </w:p>
    <w:p>
      <w:pPr>
        <w:spacing w:line="360" w:lineRule="auto"/>
        <w:jc w:val="both"/>
      </w:pPr>
      <w:r>
        <w:rPr>
          <w:rFonts w:ascii="Arial" w:hAnsi="Arial"/>
          <w:b w:val="0"/>
          <w:i w:val="0"/>
          <w:sz w:val="28"/>
        </w:rPr>
        <w:t>Qué es la contabilidad y cómo debe llevarse no lo decide la autoridad revisora, sino el artículo 28 del Código Fiscal de la Federación y las disposiciones que lo reglamentan, que imponen al contribuyente registros analíticos, descriptivos y cronológicos de sus operaciones, con las características que esas normas fijan. La obligación del contribuyente se agota ahí. Nada le exige anticipar el criterio de agregación, el desglose o el formato que a un revisor le resulte cómodo.</w:t>
      </w:r>
    </w:p>
    <w:p>
      <w:pPr>
        <w:spacing w:line="360" w:lineRule="auto"/>
        <w:jc w:val="both"/>
      </w:pPr>
      <w:r>
        <w:rPr>
          <w:rFonts w:ascii="Arial" w:hAnsi="Arial"/>
          <w:b w:val="0"/>
          <w:i w:val="0"/>
          <w:sz w:val="28"/>
        </w:rPr>
        <w:t>De ahí la distinción que decide este concepto. Cuando la autoridad exige integraciones, análisis o explicaciones con datos específicos, no está pidiendo contabilidad: está pidiendo documentos que no forman parte de ella y que sólo nacen a petición suya, elaborados de una forma predeterminada por ella misma. Es decir, crea por vía de requerimiento una obligación formal nueva, que ninguna ley impone, y sanciona su incumplimiento con las consecuencias de la fiscalización.</w:t>
      </w:r>
    </w:p>
    <w:p>
      <w:pPr>
        <w:spacing w:line="360" w:lineRule="auto"/>
        <w:jc w:val="both"/>
      </w:pPr>
      <w:r>
        <w:rPr>
          <w:rFonts w:ascii="Arial" w:hAnsi="Arial"/>
          <w:b w:val="0"/>
          <w:i w:val="0"/>
          <w:sz w:val="28"/>
        </w:rPr>
        <w:t>El propio Código cierra el sistema y confirma la lectura. Si la contabilidad del contribuyente adolece de irregularidades, la ley prevé una consecuencia expresa: el catálogo de infracciones relacionadas con la obligación de llevar contabilidad y las sanciones correlativas de los artículos 83 y 84 del Código Fiscal de la Federación. Que el legislador haya previsto esa vía, y no la de habilitar a la autoridad para dictar la forma de los registros, muestra que la facultad de exigir formalidades no existe.</w:t>
      </w:r>
    </w:p>
    <w:p>
      <w:pPr>
        <w:spacing w:line="360" w:lineRule="auto"/>
        <w:jc w:val="both"/>
      </w:pPr>
      <w:r>
        <w:rPr>
          <w:rFonts w:ascii="Arial" w:hAnsi="Arial"/>
          <w:b w:val="0"/>
          <w:i w:val="0"/>
          <w:sz w:val="28"/>
        </w:rPr>
        <w:t>Conviene precisar el alcance procesal del vicio. El artículo 51, fracción I, de la Ley Federal de Procedimiento Contencioso Administrativo declara ilegal la resolución administrativa cuando se demuestra la incompetencia del funcionario que la dictó, la ordenó o tramitó el procedimiento del que deriva. Así entendido, el precepto no se limita a la autoridad emisora: alcanza a quien ordenó o tramitó el procedimiento, que es exactamente la posición de la fiscalizadora que formuló el requerimiento excesivo.</w:t>
      </w:r>
    </w:p>
    <w:p>
      <w:pPr>
        <w:spacing w:line="360" w:lineRule="auto"/>
        <w:jc w:val="both"/>
      </w:pPr>
      <w:r>
        <w:rPr>
          <w:rFonts w:ascii="Arial" w:hAnsi="Arial"/>
          <w:b w:val="0"/>
          <w:i w:val="0"/>
          <w:sz w:val="28"/>
        </w:rPr>
        <w:t>Esa causal tiene un régimen propio. El artículo 51 de esa ley autoriza al Tribunal a hacer valer de oficio, por ser de orden público, la incompetencia de la autoridad para dictar la resolución impugnada o para ordenar o tramitar el procedimiento del que derive, lo que confirma que se trata de una cuestión ajena a la disponibilidad de las partes. Y el artículo 50 obliga a examinar primero los conceptos que puedan conducir a la nulidad lisa y llana, orden de estudio que aquí se invoca de manera expresa.</w:t>
      </w:r>
    </w:p>
    <w:p>
      <w:pPr>
        <w:spacing w:line="360" w:lineRule="auto"/>
        <w:jc w:val="both"/>
      </w:pPr>
      <w:r>
        <w:rPr>
          <w:rFonts w:ascii="Arial" w:hAnsi="Arial"/>
          <w:b w:val="0"/>
          <w:i w:val="0"/>
          <w:sz w:val="28"/>
        </w:rPr>
        <w:t>Subsidiariamente, y sólo para el caso de que esa Sala califique el exceso como vicio de procedimiento y no como incompetencia, opera el artículo 51, fracción III, de la misma ley, conforme al cual la nulidad por vicios del procedimiento está condicionada a que hayan afectado las defensas del particular y trascendido al sentido de la resolución. En el apartado siguiente se acredita esa doble condición, de manera que el concepto prospera en cualquiera de los dos encuadres.</w:t>
      </w:r>
    </w:p>
    <w:p>
      <w:pPr>
        <w:spacing w:line="360" w:lineRule="auto"/>
        <w:jc w:val="both"/>
      </w:pPr>
      <w:r>
        <w:rPr>
          <w:rFonts w:ascii="Arial" w:hAnsi="Arial"/>
          <w:b w:val="0"/>
          <w:i w:val="0"/>
          <w:sz w:val="28"/>
        </w:rPr>
        <w:t>Respecto de la resolución del recurso de revocación se actualiza además el artículo 51, fracción IV, de la citada ley, porque al confirmar una liquidación derivada de un procedimiento viciado la autoridad apreció los hechos motivantes de la revisión en forma equivocada: tuvo por legal un requerimiento que no lo era y por válido un procedimiento que no podía sostenerse.</w:t>
      </w:r>
    </w:p>
    <w:p>
      <w:pPr>
        <w:spacing w:line="360" w:lineRule="auto"/>
        <w:jc w:val="both"/>
      </w:pPr>
      <w:r>
        <w:rPr>
          <w:rFonts w:ascii="Arial" w:hAnsi="Arial"/>
          <w:b w:val="0"/>
          <w:i w:val="0"/>
          <w:sz w:val="28"/>
        </w:rPr>
        <w:t>Por último, la ilegalidad del acto inicial no se queda en él. La doctrina describe con precisión esta operación al explicar que el reconocimiento de la prueba derivada, conocido como teoría de los frutos del árbol envenenado, expresa la nulidad de todo aquello que trae causa de un acto viciado.</w:t>
      </w:r>
      <w:r>
        <w:rPr>
          <w:rFonts w:ascii="Arial" w:hAnsi="Arial"/>
          <w:vertAlign w:val="superscript"/>
        </w:rPr>
        <w:t>4</w:t>
      </w:r>
      <w:r>
        <w:rPr>
          <w:rFonts w:ascii="Arial" w:hAnsi="Arial"/>
          <w:b w:val="0"/>
          <w:i w:val="0"/>
          <w:sz w:val="28"/>
        </w:rPr>
        <w:t xml:space="preserve"> La analogía es directa: el requerimiento inicial predetermina el desarrollo de cada etapa del procedimiento, de modo que su vicio se transmite a la determinación que se construyó con lo obtenido por su conducto.</w:t>
      </w:r>
    </w:p>
    <w:p>
      <w:pPr>
        <w:spacing w:line="360" w:lineRule="auto"/>
        <w:jc w:val="both"/>
      </w:pPr>
      <w:r>
        <w:rPr>
          <w:rFonts w:ascii="Arial" w:hAnsi="Arial"/>
          <w:b/>
          <w:sz w:val="28"/>
        </w:rPr>
        <w:t>IV. Aplicación al caso concreto y refutación.</w:t>
      </w:r>
    </w:p>
    <w:p>
      <w:pPr>
        <w:spacing w:line="360" w:lineRule="auto"/>
        <w:jc w:val="both"/>
      </w:pPr>
      <w:r>
        <w:rPr>
          <w:rFonts w:ascii="Arial" w:hAnsi="Arial"/>
          <w:b w:val="0"/>
          <w:i w:val="0"/>
          <w:sz w:val="28"/>
        </w:rPr>
        <w:t xml:space="preserve">Los hechos del expediente encuadran sin esfuerzo en la premisa anterior. En el oficio </w:t>
      </w:r>
      <w:r>
        <w:rPr>
          <w:rFonts w:ascii="Arial" w:hAnsi="Arial"/>
          <w:b/>
          <w:i w:val="0"/>
          <w:sz w:val="28"/>
        </w:rPr>
        <w:t>[OFICIO Y FECHA DEL REQUERIMIENTO]</w:t>
      </w:r>
      <w:r>
        <w:rPr>
          <w:rFonts w:ascii="Arial" w:hAnsi="Arial"/>
          <w:b w:val="0"/>
          <w:i w:val="0"/>
          <w:sz w:val="28"/>
        </w:rPr>
        <w:t xml:space="preserve">, la </w:t>
      </w:r>
      <w:r>
        <w:rPr>
          <w:rFonts w:ascii="Arial" w:hAnsi="Arial"/>
          <w:b/>
          <w:i w:val="0"/>
          <w:sz w:val="28"/>
        </w:rPr>
        <w:t>[AUTORIDAD FISCALIZADORA]</w:t>
      </w:r>
      <w:r>
        <w:rPr>
          <w:rFonts w:ascii="Arial" w:hAnsi="Arial"/>
          <w:b w:val="0"/>
          <w:i w:val="0"/>
          <w:sz w:val="28"/>
        </w:rPr>
        <w:t xml:space="preserve"> exigió a la parte actora lo siguiente: </w:t>
      </w:r>
      <w:r>
        <w:rPr>
          <w:rFonts w:ascii="Arial" w:hAnsi="Arial"/>
          <w:b/>
          <w:i w:val="0"/>
          <w:sz w:val="28"/>
        </w:rPr>
        <w:t>[TRANSCRIPCIÓN DEL REQUERIMIENTO EXCESIVO]</w:t>
      </w:r>
      <w:r>
        <w:rPr>
          <w:rFonts w:ascii="Arial" w:hAnsi="Arial"/>
          <w:b w:val="0"/>
          <w:i w:val="0"/>
          <w:sz w:val="28"/>
        </w:rPr>
        <w:t>. Basta leer esa transcripción para advertir que no se pidió la contabilidad como la ley obliga a llevarla, sino documentos elaborados a la medida del revisor, con el desglose, la clasificación y los datos que él mismo determinó.</w:t>
      </w:r>
    </w:p>
    <w:p>
      <w:pPr>
        <w:spacing w:line="360" w:lineRule="auto"/>
        <w:jc w:val="both"/>
      </w:pPr>
      <w:r>
        <w:rPr>
          <w:rFonts w:ascii="Arial" w:hAnsi="Arial"/>
          <w:b w:val="0"/>
          <w:i w:val="0"/>
          <w:sz w:val="28"/>
        </w:rPr>
        <w:t>La subsunción es inmediata. La norma faculta a requerir la contabilidad y los datos, documentos e informes necesarios para la revisión; no faculta a imponer la forma en que deben elaborarse. La autoridad impuso esa forma. Luego ejerció una atribución que no le fue conferida y su actuación quedó fuera del artículo 42, fracción II, del Código Fiscal de la Federación, con la consecuencia prevista en el artículo 51, fracción I, de la Ley Federal de Procedimiento Contencioso Administrativo.</w:t>
      </w:r>
    </w:p>
    <w:p>
      <w:pPr>
        <w:spacing w:line="360" w:lineRule="auto"/>
        <w:jc w:val="both"/>
      </w:pPr>
      <w:r>
        <w:rPr>
          <w:rFonts w:ascii="Arial" w:hAnsi="Arial"/>
          <w:b w:val="0"/>
          <w:i w:val="0"/>
          <w:sz w:val="28"/>
        </w:rPr>
        <w:t xml:space="preserve">Conviene ahora refutar los razonamientos con que la autoridad sostiene lo contrario, y nombrar los errores lógicos en que incurren. El primero es el argumento de que, al estar facultada para requerir informes y documentos, no existe impedimento alguno para que sus requerimientos sean </w:t>
      </w:r>
      <w:r>
        <w:rPr>
          <w:rFonts w:ascii="Arial" w:hAnsi="Arial"/>
          <w:b w:val="0"/>
          <w:i/>
          <w:sz w:val="28"/>
        </w:rPr>
        <w:t>“tan amplios como esta lo estime necesario”</w:t>
      </w:r>
      <w:r>
        <w:rPr>
          <w:rFonts w:ascii="Arial" w:hAnsi="Arial"/>
          <w:b w:val="0"/>
          <w:i w:val="0"/>
          <w:sz w:val="28"/>
        </w:rPr>
        <w:t>, atendiendo a las características del sujeto revisado y a sus operaciones.</w:t>
      </w:r>
    </w:p>
    <w:p>
      <w:pPr>
        <w:spacing w:line="360" w:lineRule="auto"/>
        <w:jc w:val="both"/>
      </w:pPr>
      <w:r>
        <w:rPr>
          <w:rFonts w:ascii="Arial" w:hAnsi="Arial"/>
          <w:b w:val="0"/>
          <w:i w:val="0"/>
          <w:sz w:val="28"/>
        </w:rPr>
        <w:t>Ese razonamiento es un non sequitur, denominación genérica de los argumentos en que la conclusión no se sigue de las premisas.</w:t>
      </w:r>
      <w:r>
        <w:rPr>
          <w:rFonts w:ascii="Arial" w:hAnsi="Arial"/>
          <w:vertAlign w:val="superscript"/>
        </w:rPr>
        <w:t>5</w:t>
      </w:r>
      <w:r>
        <w:rPr>
          <w:rFonts w:ascii="Arial" w:hAnsi="Arial"/>
          <w:b w:val="0"/>
          <w:i w:val="0"/>
          <w:sz w:val="28"/>
        </w:rPr>
        <w:t xml:space="preserve"> De la premisa verdadera </w:t>
      </w:r>
      <w:r>
        <w:rPr>
          <w:rFonts w:ascii="Arial" w:hAnsi="Arial"/>
          <w:b w:val="0"/>
          <w:i/>
          <w:sz w:val="28"/>
        </w:rPr>
        <w:t>“la autoridad puede requerir datos, documentos e informes”</w:t>
      </w:r>
      <w:r>
        <w:rPr>
          <w:rFonts w:ascii="Arial" w:hAnsi="Arial"/>
          <w:b w:val="0"/>
          <w:i w:val="0"/>
          <w:sz w:val="28"/>
        </w:rPr>
        <w:t xml:space="preserve"> no se deriva la conclusión </w:t>
      </w:r>
      <w:r>
        <w:rPr>
          <w:rFonts w:ascii="Arial" w:hAnsi="Arial"/>
          <w:b w:val="0"/>
          <w:i/>
          <w:sz w:val="28"/>
        </w:rPr>
        <w:t>“la autoridad puede fijar la forma y el contenido con que deben elaborarse”</w:t>
      </w:r>
      <w:r>
        <w:rPr>
          <w:rFonts w:ascii="Arial" w:hAnsi="Arial"/>
          <w:b w:val="0"/>
          <w:i w:val="0"/>
          <w:sz w:val="28"/>
        </w:rPr>
        <w:t>. Son dos potestades distintas: una de acceso a lo existente, otra de creación de deberes formales nuevos. La segunda requeriría norma propia, y esa norma no se cita porque no existe.</w:t>
      </w:r>
    </w:p>
    <w:p>
      <w:pPr>
        <w:spacing w:line="360" w:lineRule="auto"/>
        <w:jc w:val="both"/>
      </w:pPr>
      <w:r>
        <w:rPr>
          <w:rFonts w:ascii="Arial" w:hAnsi="Arial"/>
          <w:b w:val="0"/>
          <w:i w:val="0"/>
          <w:sz w:val="28"/>
        </w:rPr>
        <w:t>El segundo razonamiento invierte indebidamente el debate: sostiene que la parte actora no precisó cómo la perjudicaron los documentos requeridos y que, al no acreditar afectación a su esfera jurídica, debe subsistir la presunción de legalidad de la resolución. Aquí el vicio es una petición de principio: postular o tomar lo del principio consiste en pretender demostrar por sí mismo lo que no está claro, es decir, en no demostrar.</w:t>
      </w:r>
      <w:r>
        <w:rPr>
          <w:rFonts w:ascii="Arial" w:hAnsi="Arial"/>
          <w:vertAlign w:val="superscript"/>
        </w:rPr>
        <w:t>6</w:t>
      </w:r>
    </w:p>
    <w:p>
      <w:pPr>
        <w:spacing w:line="360" w:lineRule="auto"/>
        <w:jc w:val="both"/>
      </w:pPr>
      <w:r>
        <w:rPr>
          <w:rFonts w:ascii="Arial" w:hAnsi="Arial"/>
          <w:b w:val="0"/>
          <w:i w:val="0"/>
          <w:sz w:val="28"/>
        </w:rPr>
        <w:t>La presunción de legalidad es lo que está en disputa, no la premisa desde la cual se resuelve la disputa: usarla para desestimar el concepto equivale a afirmar que el acto es legal porque se presume legal. A ello se añade un desplazamiento indebido de la carga procesal, pues quien afirma tener una facultad debe señalar la norma que la confiere, y en el caso la autoridad no la señala; ninguna presunción suple la ausencia de norma habilitante.</w:t>
      </w:r>
    </w:p>
    <w:p>
      <w:pPr>
        <w:spacing w:line="360" w:lineRule="auto"/>
        <w:jc w:val="both"/>
      </w:pPr>
      <w:r>
        <w:rPr>
          <w:rFonts w:ascii="Arial" w:hAnsi="Arial"/>
          <w:b w:val="0"/>
          <w:i w:val="0"/>
          <w:sz w:val="28"/>
        </w:rPr>
        <w:t xml:space="preserve">El tercer razonamiento invoca, como </w:t>
      </w:r>
      <w:r>
        <w:rPr>
          <w:rFonts w:ascii="Arial" w:hAnsi="Arial"/>
          <w:b w:val="0"/>
          <w:i/>
          <w:sz w:val="28"/>
        </w:rPr>
        <w:t>“hechos notorios”</w:t>
      </w:r>
      <w:r>
        <w:rPr>
          <w:rFonts w:ascii="Arial" w:hAnsi="Arial"/>
          <w:b w:val="0"/>
          <w:i w:val="0"/>
          <w:sz w:val="28"/>
        </w:rPr>
        <w:t xml:space="preserve">, sentencias dictadas por otras Salas de este Tribunal en juicios distintos, y criterios de un pleno regional ajeno a la región en que esa Sala se encuentra. La objeción es doble. Las personas juzgadoras que integran las Salas de este Tribunal cuentan con autonomía jurisdiccional y no están obligadas a resolver con base en criterios adoptados en otros juicios, de modo que una sentencia dictada en un juicio distinto no puede invocarse como </w:t>
      </w:r>
      <w:r>
        <w:rPr>
          <w:rFonts w:ascii="Arial" w:hAnsi="Arial"/>
          <w:b w:val="0"/>
          <w:i/>
          <w:sz w:val="28"/>
        </w:rPr>
        <w:t>“hecho notorio”</w:t>
      </w:r>
      <w:r>
        <w:rPr>
          <w:rFonts w:ascii="Arial" w:hAnsi="Arial"/>
          <w:b w:val="0"/>
          <w:i w:val="0"/>
          <w:sz w:val="28"/>
        </w:rPr>
        <w:t xml:space="preserve"> para imponer su conclusión a esa Sala.</w:t>
      </w:r>
    </w:p>
    <w:p>
      <w:pPr>
        <w:spacing w:line="360" w:lineRule="auto"/>
        <w:jc w:val="both"/>
      </w:pPr>
      <w:r>
        <w:rPr>
          <w:rFonts w:ascii="Arial" w:hAnsi="Arial"/>
          <w:b w:val="0"/>
          <w:i w:val="0"/>
          <w:sz w:val="28"/>
        </w:rPr>
        <w:t>Y respecto de la jurisprudencia de los plenos regionales, el artículo 217, párrafo segundo, de la Ley de Amparo es terminante: es obligatoria para todas las autoridades jurisdiccionales de la Federación y de las entidades federativas de su región, salvo para la Suprema Corte de Justicia de la Nación y los plenos regionales. Fuera de su región constituye, cuando más, criterio orientador, de manera que invocarla como vinculante es una apelación a la autoridad mal empleada.</w:t>
      </w:r>
    </w:p>
    <w:p>
      <w:pPr>
        <w:spacing w:line="360" w:lineRule="auto"/>
        <w:jc w:val="both"/>
      </w:pPr>
      <w:r>
        <w:rPr>
          <w:rFonts w:ascii="Arial" w:hAnsi="Arial"/>
          <w:b w:val="0"/>
          <w:i w:val="0"/>
          <w:sz w:val="28"/>
        </w:rPr>
        <w:t>Conviene precisar el alcance de esta objeción, porque su empleo descuidado la vuelve contraproducente: sólo opera cuando el pleno regional que sostuvo el criterio pertenece a una región distinta de aquella en que se ubica el circuito de esa Sala. Si el criterio proviene del pleno regional de la propia región, sí obliga, porque la excepción del párrafo segundo alcanza únicamente a la Suprema Corte y a los plenos regionales; en ese supuesto el concepto debe sostenerse en el encuadre subsidiario y en la demostración de afectación y trascendencia que enseguida se desarrolla.</w:t>
      </w:r>
    </w:p>
    <w:p>
      <w:pPr>
        <w:spacing w:line="360" w:lineRule="auto"/>
        <w:jc w:val="both"/>
      </w:pPr>
      <w:r>
        <w:rPr>
          <w:rFonts w:ascii="Arial" w:hAnsi="Arial"/>
          <w:b w:val="0"/>
          <w:i w:val="0"/>
          <w:sz w:val="28"/>
        </w:rPr>
        <w:t xml:space="preserve">Queda por acreditar la afectación y la trascendencia, tanto porque el encuadre subsidiario del artículo 51, fracción III, las exige, como porque anticipa la única objeción seria que puede oponerse a este concepto. La afectación es palpable: la parte actora exhibió </w:t>
      </w:r>
      <w:r>
        <w:rPr>
          <w:rFonts w:ascii="Arial" w:hAnsi="Arial"/>
          <w:b/>
          <w:i w:val="0"/>
          <w:sz w:val="28"/>
        </w:rPr>
        <w:t>[DOCUMENTACIÓN EFECTIVAMENTE EXHIBIDA]</w:t>
      </w:r>
      <w:r>
        <w:rPr>
          <w:rFonts w:ascii="Arial" w:hAnsi="Arial"/>
          <w:b w:val="0"/>
          <w:i w:val="0"/>
          <w:sz w:val="28"/>
        </w:rPr>
        <w:t xml:space="preserve"> y fue obligada a destinar recursos a construir documentos inexistentes, bajo la amenaza implícita de que su omisión se tradujera en el rechazo de su información.</w:t>
      </w:r>
    </w:p>
    <w:p>
      <w:pPr>
        <w:spacing w:line="360" w:lineRule="auto"/>
        <w:jc w:val="both"/>
      </w:pPr>
      <w:r>
        <w:rPr>
          <w:rFonts w:ascii="Arial" w:hAnsi="Arial"/>
          <w:b w:val="0"/>
          <w:i w:val="0"/>
          <w:sz w:val="28"/>
        </w:rPr>
        <w:t xml:space="preserve">La trascendencia se demuestra con la relación de causalidad entre el requerimiento y la liquidación. Los rubros determinados en </w:t>
      </w:r>
      <w:r>
        <w:rPr>
          <w:rFonts w:ascii="Arial" w:hAnsi="Arial"/>
          <w:b/>
          <w:i w:val="0"/>
          <w:sz w:val="28"/>
        </w:rPr>
        <w:t>[RUBROS DE LA LIQUIDACIÓN QUE SE APOYAN EN EL REQUERIMIENTO]</w:t>
      </w:r>
      <w:r>
        <w:rPr>
          <w:rFonts w:ascii="Arial" w:hAnsi="Arial"/>
          <w:b w:val="0"/>
          <w:i w:val="0"/>
          <w:sz w:val="28"/>
        </w:rPr>
        <w:t xml:space="preserve"> se apoyan, en la propia motivación de la resolución determinante, en la información obtenida por conducto del requerimiento ilegal o en la falta de ella; suprimido ese material, la determinación queda sin base. Existe, pues, causa eficiente entre el vicio y el crédito, y no una irregularidad inocua.</w:t>
      </w:r>
    </w:p>
    <w:p>
      <w:pPr>
        <w:spacing w:line="360" w:lineRule="auto"/>
        <w:jc w:val="both"/>
      </w:pPr>
      <w:r>
        <w:rPr>
          <w:rFonts w:ascii="Arial" w:hAnsi="Arial"/>
          <w:b w:val="0"/>
          <w:i w:val="0"/>
          <w:sz w:val="28"/>
        </w:rPr>
        <w:t>Debe descartarse, por lo mismo, la lectura que convertiría este vicio en una ilegalidad no invalidante. Ese razonamiento es admisible cuando el requerimiento excesivo es lateral y la determinación se sostiene por sí misma en hechos u omisiones acreditados por otra vía, o cuando la autoridad valoró efectivamente la información que se le exhibió y en ella, y no en las formalidades que impuso, apoyó su determinación. No es el caso: aquí el requerimiento no fue un accesorio del procedimiento, fue su punto de partida y la fuente del material con que se determinaron las contribuciones.</w:t>
      </w:r>
    </w:p>
    <w:p>
      <w:pPr>
        <w:spacing w:line="360" w:lineRule="auto"/>
        <w:jc w:val="both"/>
      </w:pPr>
      <w:r>
        <w:rPr>
          <w:rFonts w:ascii="Arial" w:hAnsi="Arial"/>
          <w:b w:val="0"/>
          <w:i w:val="0"/>
          <w:sz w:val="28"/>
        </w:rPr>
        <w:t>Conviene, en fin, medir la consecuencia sistémica de convalidar el requerimiento, porque ahí se ve el error con claridad. Si la autoridad pudiera fijar libremente la forma, el desglose y los datos con que debe rendirse la información, el contenido de la obligación contable dejaría de estar en la ley y pasaría a depender del criterio de cada revisor; el contribuyente diligente que lleva su contabilidad conforme al Código quedaría, aun así, en falta. Ese resultado es incompatible con el artículo 16 constitucional.</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artículo 42, fracción II, del Código Fiscal de la Federación faculta a la autoridad para requerir la contabilidad y los datos, documentos e informes necesarios para su revisión, y para valorarlos en la forma en que se encuentren; no la faculta para exigir que se elaboren con datos, desglose o características determinados por ella. La </w:t>
      </w:r>
      <w:r>
        <w:rPr>
          <w:rFonts w:ascii="Arial" w:hAnsi="Arial"/>
          <w:b/>
          <w:i w:val="0"/>
          <w:sz w:val="28"/>
        </w:rPr>
        <w:t>[AUTORIDAD FISCALIZADORA]</w:t>
      </w:r>
      <w:r>
        <w:rPr>
          <w:rFonts w:ascii="Arial" w:hAnsi="Arial"/>
          <w:b w:val="0"/>
          <w:i w:val="0"/>
          <w:sz w:val="28"/>
        </w:rPr>
        <w:t xml:space="preserve"> hizo precisamente esto último, de modo que tramitó el procedimiento fuera de las atribuciones que la ley le confiere.</w:t>
      </w:r>
    </w:p>
    <w:p>
      <w:pPr>
        <w:spacing w:line="360" w:lineRule="auto"/>
        <w:jc w:val="both"/>
      </w:pPr>
      <w:r>
        <w:rPr>
          <w:rFonts w:ascii="Arial" w:hAnsi="Arial"/>
          <w:b w:val="0"/>
          <w:i w:val="0"/>
          <w:sz w:val="28"/>
        </w:rPr>
        <w:t>Por consiguiente, la resolución originalmente recurrida es ilegal en términos del artículo 51, fracción I, de la Ley Federal de Procedimiento Contencioso Administrativo, porque deriva de un procedimiento tramitado por autoridad que ejerció una atribución que no tiene; y la resolución impugnada lo es en términos de la fracción IV del mismo precepto, porque al confirmarla apreció los hechos en forma equivocada. Subsidiariamente se actualiza la fracción III, cuya afectación y trascendencia quedaron demostradas.</w:t>
      </w:r>
    </w:p>
    <w:p>
      <w:pPr>
        <w:spacing w:line="360" w:lineRule="auto"/>
        <w:jc w:val="both"/>
      </w:pPr>
      <w:r>
        <w:rPr>
          <w:rFonts w:ascii="Arial" w:hAnsi="Arial"/>
          <w:b w:val="0"/>
          <w:i w:val="0"/>
          <w:sz w:val="28"/>
        </w:rPr>
        <w:t xml:space="preserve">Por lo expuesto, con fundamento en los artículos 50, 51, fracciones I, III y IV, y 52, fracción II, de la Ley Federal de Procedimiento Contencioso Administrativo, se solicita a esa </w:t>
      </w:r>
      <w:r>
        <w:rPr>
          <w:rFonts w:ascii="Arial" w:hAnsi="Arial"/>
          <w:b/>
          <w:i w:val="0"/>
          <w:sz w:val="28"/>
        </w:rPr>
        <w:t>[SALA REGIONAL COMPETENTE]</w:t>
      </w:r>
      <w:r>
        <w:rPr>
          <w:rFonts w:ascii="Arial" w:hAnsi="Arial"/>
          <w:b w:val="0"/>
          <w:i w:val="0"/>
          <w:sz w:val="28"/>
        </w:rPr>
        <w:t xml:space="preserve"> declarar fundado el presente concepto de impugnación y decretar la nulidad lisa y llana tanto de la resolución impugnada como de la originalmente recurrida, con el estudio preferente que ese artículo 50 ordena para los conceptos que pueden conducir a la nulidad lisa y llana.</w:t>
      </w:r>
    </w:p>
    <w:p>
      <w:pPr>
        <w:spacing w:line="360" w:lineRule="auto"/>
        <w:jc w:val="both"/>
      </w:pPr>
      <w:r>
        <w:rPr>
          <w:rFonts w:ascii="Arial" w:hAnsi="Arial"/>
          <w:b w:val="0"/>
          <w:i w:val="0"/>
          <w:sz w:val="28"/>
        </w:rPr>
        <w:t>Se solicita, además, que la sentencia precise los efectos que corresponden a esa nulidad conforme al artículo 19 de la Ley Federal de los Derechos del Contribuyente y al artículo 53-C del Código Fiscal de la Federación, de manera que la autoridad fiscalizadora no pueda emitir una nueva resolución con base en el mismo procedimiento de fiscalización, ni ordenar o practicar uno nuevo sobre los mismos hechos ya revisados.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59.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18.</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265.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FERRER BELTRÁN, Jordi et al., </w:t>
      </w:r>
      <w:r>
        <w:rPr>
          <w:rFonts w:ascii="Arial" w:hAnsi="Arial"/>
          <w:i/>
          <w:sz w:val="20"/>
        </w:rPr>
        <w:t>Estudios sobre la prueba</w:t>
      </w:r>
      <w:r>
        <w:rPr>
          <w:rFonts w:ascii="Arial" w:hAnsi="Arial"/>
          <w:i w:val="0"/>
          <w:sz w:val="20"/>
        </w:rPr>
        <w:t>, Universidad Nacional Autónoma de México, México, 2006, p. 59.</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73.</w:t>
      </w:r>
    </w:p>
    <w:p/>
    <w:p>
      <w:r>
        <w:rPr>
          <w:rFonts w:ascii="Arial" w:hAnsi="Arial"/>
          <w:b/>
          <w:sz w:val="22"/>
        </w:rPr>
        <w:t>BIBLIOGRAFÍA</w:t>
      </w:r>
    </w:p>
    <w:p>
      <w:pPr>
        <w:spacing w:after="60"/>
        <w:ind w:left="360" w:hanging="360"/>
        <w:jc w:val="both"/>
      </w:pPr>
      <w:r>
        <w:rPr>
          <w:rFonts w:ascii="Arial" w:hAnsi="Arial"/>
          <w:i w:val="0"/>
          <w:sz w:val="20"/>
        </w:rPr>
        <w:t xml:space="preserve">FERRER BELTRÁN, Jordi et al., </w:t>
      </w:r>
      <w:r>
        <w:rPr>
          <w:rFonts w:ascii="Arial" w:hAnsi="Arial"/>
          <w:i/>
          <w:sz w:val="20"/>
        </w:rPr>
        <w:t>Estudios sobre la prueba</w:t>
      </w:r>
      <w:r>
        <w:rPr>
          <w:rFonts w:ascii="Arial" w:hAnsi="Arial"/>
          <w:i w:val="0"/>
          <w:sz w:val="20"/>
        </w:rPr>
        <w:t>, Universidad Nacional Autónoma de México, México, 2006.</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