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Arial" w:hAnsi="Arial"/>
          <w:b/>
          <w:sz w:val="28"/>
        </w:rPr>
        <w:t>MACHOTE. DEMANDA DE NULIDAD TFJA. OMISIÓN DE VALORAR PRUEBAS NUEVAS EN EL RECURSO DE REVOCACIÓN Y REENVÍO INJUSTIFICADO EN DEVOLUCIÓN DE IVA</w:t>
      </w:r>
    </w:p>
    <w:p>
      <w:pPr>
        <w:jc w:val="center"/>
      </w:pPr>
      <w:r>
        <w:rPr>
          <w:rFonts w:ascii="Arial" w:hAnsi="Arial"/>
          <w:sz w:val="20"/>
        </w:rPr>
        <w:t>Machote gratuito de Academia de Amparo y Derecho — academiadeamparo.com</w:t>
      </w:r>
    </w:p>
    <w:p/>
    <w:p>
      <w:r>
        <w:rPr>
          <w:rFonts w:ascii="Arial" w:hAnsi="Arial"/>
          <w:b/>
          <w:sz w:val="24"/>
        </w:rPr>
        <w:t>CÓMO USAR ESTE MACHOTE</w:t>
      </w:r>
    </w:p>
    <w:p>
      <w:pPr>
        <w:spacing w:line="360" w:lineRule="auto"/>
        <w:jc w:val="both"/>
      </w:pPr>
      <w:r>
        <w:rPr>
          <w:rFonts w:ascii="Arial" w:hAnsi="Arial"/>
          <w:b w:val="0"/>
          <w:i w:val="0"/>
          <w:sz w:val="24"/>
        </w:rPr>
        <w:t>Descarga el machote, léelo completo y adapta el concepto de impugnación a tu demanda de nulidad. Primero reconstruye el expediente del recurso de revocación: el escrito de interposición, la relación de pruebas ofrecidas y acompañadas, y la resolución que lo resolvió, identificando los párrafos donde la autoridad cita tus pruebas sin valorarlas, donde ordena a la autoridad de origen emitir una nueva resolución y, si los hay, donde califica de inoportunos o extemporáneos algunos documentos.</w:t>
      </w:r>
    </w:p>
    <w:p>
      <w:pPr>
        <w:spacing w:line="360" w:lineRule="auto"/>
        <w:jc w:val="both"/>
      </w:pPr>
      <w:r>
        <w:rPr>
          <w:rFonts w:ascii="Arial" w:hAnsi="Arial"/>
          <w:b w:val="0"/>
          <w:i w:val="0"/>
          <w:sz w:val="24"/>
        </w:rPr>
        <w:t>Después llena los campos editables y confronta cada afirmación del machote con tu resolución. Conserva la pretensión principal y la subsidiaria, y no olvides pedir el expediente administrativo completo con el apercibimiento legal, porque de ello depende que la Sala pueda resolver el fondo. Recuerda que la demanda de nulidad se presenta en treinta días (artículo 58-2, párrafo tercero, de la Ley Federal de Procedimiento Contencioso Administrativo, plazo que rige también en la vía sumaria).</w:t>
      </w:r>
    </w:p>
    <w:p>
      <w:pPr>
        <w:spacing w:line="360" w:lineRule="auto"/>
        <w:jc w:val="both"/>
      </w:pPr>
      <w:r>
        <w:rPr>
          <w:rFonts w:ascii="Arial" w:hAnsi="Arial"/>
          <w:b w:val="0"/>
          <w:i w:val="0"/>
          <w:sz w:val="24"/>
        </w:rPr>
        <w:t>Campos editables y qué poner en cada uno:</w:t>
      </w:r>
    </w:p>
    <w:p>
      <w:pPr>
        <w:spacing w:line="360" w:lineRule="auto"/>
        <w:jc w:val="both"/>
      </w:pPr>
      <w:r>
        <w:rPr>
          <w:rFonts w:ascii="Arial" w:hAnsi="Arial"/>
          <w:b/>
          <w:i w:val="0"/>
          <w:sz w:val="24"/>
        </w:rPr>
        <w:t>[NÚMERO ORDINAL DEL CONCEPTO]</w:t>
      </w:r>
      <w:r>
        <w:rPr>
          <w:rFonts w:ascii="Arial" w:hAnsi="Arial"/>
          <w:b w:val="0"/>
          <w:i w:val="0"/>
          <w:sz w:val="24"/>
        </w:rPr>
        <w:t>: el ordinal que le corresponda en tu demanda (PRIMERO, SEGUNDO…).</w:t>
      </w:r>
    </w:p>
    <w:p>
      <w:pPr>
        <w:spacing w:line="360" w:lineRule="auto"/>
        <w:jc w:val="both"/>
      </w:pPr>
      <w:r>
        <w:rPr>
          <w:rFonts w:ascii="Arial" w:hAnsi="Arial"/>
          <w:b/>
          <w:i w:val="0"/>
          <w:sz w:val="24"/>
        </w:rPr>
        <w:t>[NÚMERO DE OFICIO DE LA RESOLUCIÓN IMPUGNADA]</w:t>
      </w:r>
      <w:r>
        <w:rPr>
          <w:rFonts w:ascii="Arial" w:hAnsi="Arial"/>
          <w:b w:val="0"/>
          <w:i w:val="0"/>
          <w:sz w:val="24"/>
        </w:rPr>
        <w:t>: el número del oficio que resolvió el recurso de revocación.</w:t>
      </w:r>
    </w:p>
    <w:p>
      <w:pPr>
        <w:spacing w:line="360" w:lineRule="auto"/>
        <w:jc w:val="both"/>
      </w:pPr>
      <w:r>
        <w:rPr>
          <w:rFonts w:ascii="Arial" w:hAnsi="Arial"/>
          <w:b/>
          <w:i w:val="0"/>
          <w:sz w:val="24"/>
        </w:rPr>
        <w:t>[AUTORIDAD DEMANDADA]</w:t>
      </w:r>
      <w:r>
        <w:rPr>
          <w:rFonts w:ascii="Arial" w:hAnsi="Arial"/>
          <w:b w:val="0"/>
          <w:i w:val="0"/>
          <w:sz w:val="24"/>
        </w:rPr>
        <w:t>: la unidad jurídica del SAT que resolvió el recurso, con su denominación completa.</w:t>
      </w:r>
    </w:p>
    <w:p>
      <w:pPr>
        <w:spacing w:line="360" w:lineRule="auto"/>
        <w:jc w:val="both"/>
      </w:pPr>
      <w:r>
        <w:rPr>
          <w:rFonts w:ascii="Arial" w:hAnsi="Arial"/>
          <w:b/>
          <w:i w:val="0"/>
          <w:sz w:val="24"/>
        </w:rPr>
        <w:t>[NÚMERO DEL RECURSO DE REVOCACIÓN]</w:t>
      </w:r>
      <w:r>
        <w:rPr>
          <w:rFonts w:ascii="Arial" w:hAnsi="Arial"/>
          <w:b w:val="0"/>
          <w:i w:val="0"/>
          <w:sz w:val="24"/>
        </w:rPr>
        <w:t>: el número con que se radicó tu recurso.</w:t>
      </w:r>
    </w:p>
    <w:p>
      <w:pPr>
        <w:spacing w:line="360" w:lineRule="auto"/>
        <w:jc w:val="both"/>
      </w:pPr>
      <w:r>
        <w:rPr>
          <w:rFonts w:ascii="Arial" w:hAnsi="Arial"/>
          <w:b/>
          <w:i w:val="0"/>
          <w:sz w:val="24"/>
        </w:rPr>
        <w:t>[NOMBRE DE LA PARTE ACTORA]</w:t>
      </w:r>
      <w:r>
        <w:rPr>
          <w:rFonts w:ascii="Arial" w:hAnsi="Arial"/>
          <w:b w:val="0"/>
          <w:i w:val="0"/>
          <w:sz w:val="24"/>
        </w:rPr>
        <w:t>: la persona o empresa contribuyente.</w:t>
      </w:r>
    </w:p>
    <w:p>
      <w:pPr>
        <w:spacing w:line="360" w:lineRule="auto"/>
        <w:jc w:val="both"/>
      </w:pPr>
      <w:r>
        <w:rPr>
          <w:rFonts w:ascii="Arial" w:hAnsi="Arial"/>
          <w:b/>
          <w:i w:val="0"/>
          <w:sz w:val="24"/>
        </w:rPr>
        <w:t>[FECHA DE EMISIÓN DE LA RESOLUCIÓN IMPUGNADA]</w:t>
      </w:r>
      <w:r>
        <w:rPr>
          <w:rFonts w:ascii="Arial" w:hAnsi="Arial"/>
          <w:b w:val="0"/>
          <w:i w:val="0"/>
          <w:sz w:val="24"/>
        </w:rPr>
        <w:t>: la fecha que ostenta la resolución del recurso.</w:t>
      </w:r>
    </w:p>
    <w:p>
      <w:pPr>
        <w:spacing w:line="360" w:lineRule="auto"/>
        <w:jc w:val="both"/>
      </w:pPr>
      <w:r>
        <w:rPr>
          <w:rFonts w:ascii="Arial" w:hAnsi="Arial"/>
          <w:b/>
          <w:i w:val="0"/>
          <w:sz w:val="24"/>
        </w:rPr>
        <w:t>[FECHA DE NOTIFICACIÓN DE LA RESOLUCIÓN IMPUGNADA]</w:t>
      </w:r>
      <w:r>
        <w:rPr>
          <w:rFonts w:ascii="Arial" w:hAnsi="Arial"/>
          <w:b w:val="0"/>
          <w:i w:val="0"/>
          <w:sz w:val="24"/>
        </w:rPr>
        <w:t>: la fecha en que se te notificó (normalmente por buzón tributario).</w:t>
      </w:r>
    </w:p>
    <w:p>
      <w:pPr>
        <w:spacing w:line="360" w:lineRule="auto"/>
        <w:jc w:val="both"/>
      </w:pPr>
      <w:r>
        <w:rPr>
          <w:rFonts w:ascii="Arial" w:hAnsi="Arial"/>
          <w:b/>
          <w:i w:val="0"/>
          <w:sz w:val="24"/>
        </w:rPr>
        <w:t>[NÚMERO DE OFICIO DE LA RESOLUCIÓN RECURRIDA]</w:t>
      </w:r>
      <w:r>
        <w:rPr>
          <w:rFonts w:ascii="Arial" w:hAnsi="Arial"/>
          <w:b w:val="0"/>
          <w:i w:val="0"/>
          <w:sz w:val="24"/>
        </w:rPr>
        <w:t>: el oficio que negó la devolución y que recurriste.</w:t>
      </w:r>
    </w:p>
    <w:p>
      <w:pPr>
        <w:spacing w:line="360" w:lineRule="auto"/>
        <w:jc w:val="both"/>
      </w:pPr>
      <w:r>
        <w:rPr>
          <w:rFonts w:ascii="Arial" w:hAnsi="Arial"/>
          <w:b/>
          <w:i w:val="0"/>
          <w:sz w:val="24"/>
        </w:rPr>
        <w:t>[AUTORIDAD EMISORA DE LA RESOLUCIÓN RECURRIDA]</w:t>
      </w:r>
      <w:r>
        <w:rPr>
          <w:rFonts w:ascii="Arial" w:hAnsi="Arial"/>
          <w:b w:val="0"/>
          <w:i w:val="0"/>
          <w:sz w:val="24"/>
        </w:rPr>
        <w:t>: la unidad de auditoría o de recaudación que negó la devolución.</w:t>
      </w:r>
    </w:p>
    <w:p>
      <w:pPr>
        <w:spacing w:line="360" w:lineRule="auto"/>
        <w:jc w:val="both"/>
      </w:pPr>
      <w:r>
        <w:rPr>
          <w:rFonts w:ascii="Arial" w:hAnsi="Arial"/>
          <w:b/>
          <w:i w:val="0"/>
          <w:sz w:val="24"/>
        </w:rPr>
        <w:t>[PERIODO DEL SALDO A FAVOR]</w:t>
      </w:r>
      <w:r>
        <w:rPr>
          <w:rFonts w:ascii="Arial" w:hAnsi="Arial"/>
          <w:b w:val="0"/>
          <w:i w:val="0"/>
          <w:sz w:val="24"/>
        </w:rPr>
        <w:t>: el mes y año del saldo a favor cuya devolución pediste.</w:t>
      </w:r>
    </w:p>
    <w:p>
      <w:pPr>
        <w:spacing w:line="360" w:lineRule="auto"/>
        <w:jc w:val="both"/>
      </w:pPr>
      <w:r>
        <w:rPr>
          <w:rFonts w:ascii="Arial" w:hAnsi="Arial"/>
          <w:b/>
          <w:i w:val="0"/>
          <w:sz w:val="24"/>
        </w:rPr>
        <w:t>[MONTO DEL SALDO A FAVOR SOLICITADO]</w:t>
      </w:r>
      <w:r>
        <w:rPr>
          <w:rFonts w:ascii="Arial" w:hAnsi="Arial"/>
          <w:b w:val="0"/>
          <w:i w:val="0"/>
          <w:sz w:val="24"/>
        </w:rPr>
        <w:t>: la cantidad solicitada, con número y letra.</w:t>
      </w:r>
    </w:p>
    <w:p>
      <w:pPr>
        <w:spacing w:line="360" w:lineRule="auto"/>
        <w:jc w:val="both"/>
      </w:pPr>
      <w:r>
        <w:rPr>
          <w:rFonts w:ascii="Arial" w:hAnsi="Arial"/>
          <w:b/>
          <w:i w:val="0"/>
          <w:sz w:val="24"/>
        </w:rPr>
        <w:t>[FECHA DE PRESENTACIÓN DE LA SOLICITUD DE DEVOLUCIÓN]</w:t>
      </w:r>
      <w:r>
        <w:rPr>
          <w:rFonts w:ascii="Arial" w:hAnsi="Arial"/>
          <w:b w:val="0"/>
          <w:i w:val="0"/>
          <w:sz w:val="24"/>
        </w:rPr>
        <w:t>: la fecha del trámite de devolución, con su número de control.</w:t>
      </w:r>
    </w:p>
    <w:p>
      <w:pPr>
        <w:spacing w:line="360" w:lineRule="auto"/>
        <w:jc w:val="both"/>
      </w:pPr>
      <w:r>
        <w:rPr>
          <w:rFonts w:ascii="Arial" w:hAnsi="Arial"/>
          <w:b/>
          <w:i w:val="0"/>
          <w:sz w:val="24"/>
        </w:rPr>
        <w:t>[FECHA DE PRESENTACIÓN DEL RECURSO DE REVOCACIÓN]</w:t>
      </w:r>
      <w:r>
        <w:rPr>
          <w:rFonts w:ascii="Arial" w:hAnsi="Arial"/>
          <w:b w:val="0"/>
          <w:i w:val="0"/>
          <w:sz w:val="24"/>
        </w:rPr>
        <w:t>: la fecha en que interpusiste el recurso.</w:t>
      </w:r>
    </w:p>
    <w:p>
      <w:pPr>
        <w:spacing w:line="360" w:lineRule="auto"/>
        <w:jc w:val="both"/>
      </w:pPr>
      <w:r>
        <w:rPr>
          <w:rFonts w:ascii="Arial" w:hAnsi="Arial"/>
          <w:b/>
          <w:i w:val="0"/>
          <w:sz w:val="24"/>
        </w:rPr>
        <w:t>[VICIO QUE LA RESOLUTORA ADVIRTIÓ EN LA RESOLUCIÓN RECURRIDA]</w:t>
      </w:r>
      <w:r>
        <w:rPr>
          <w:rFonts w:ascii="Arial" w:hAnsi="Arial"/>
          <w:b w:val="0"/>
          <w:i w:val="0"/>
          <w:sz w:val="24"/>
        </w:rPr>
        <w:t>: el defecto por el que la autoridad del recurso dejó insubsistente la negativa (por ejemplo, que se fundó en un oficio ya dejado sin efectos o que carecía de fundamentación y motivación), tal como lo expresó la propia resolución impugnada.</w:t>
      </w:r>
    </w:p>
    <w:p>
      <w:pPr>
        <w:spacing w:line="360" w:lineRule="auto"/>
        <w:jc w:val="both"/>
      </w:pPr>
      <w:r>
        <w:rPr>
          <w:rFonts w:ascii="Arial" w:hAnsi="Arial"/>
          <w:b/>
          <w:i w:val="0"/>
          <w:sz w:val="24"/>
        </w:rPr>
        <w:t>[RELACIÓN DE PRUEBAS APORTADAS EN EL RECURSO DE REVOCACIÓN]</w:t>
      </w:r>
      <w:r>
        <w:rPr>
          <w:rFonts w:ascii="Arial" w:hAnsi="Arial"/>
          <w:b w:val="0"/>
          <w:i w:val="0"/>
          <w:sz w:val="24"/>
        </w:rPr>
        <w:t>: la lista de documentos que acompañaste al recurso (escrito libre, declaraciones, pólizas, comprobantes, estados de cuenta), tal como los identificó la propia resolución.</w:t>
      </w:r>
    </w:p>
    <w:p/>
    <w:p>
      <w:pPr>
        <w:spacing w:line="360" w:lineRule="auto"/>
        <w:jc w:val="both"/>
      </w:pPr>
      <w:r>
        <w:rPr>
          <w:rFonts w:ascii="Arial" w:hAnsi="Arial"/>
          <w:b/>
          <w:sz w:val="28"/>
        </w:rPr>
        <w:t>[NÚMERO ORDINAL DEL CONCEPTO] CONCEPTO DE IMPUGNACIÓN. Omisión de la autoridad que resolvió el recurso de revocación de valorar las pruebas aportadas en esa instancia y de pronunciarse sobre la procedencia de la devolución, con reenvío injustificado a la autoridad de origen. La resolución impugnada viola el artículo 132 del Código Fiscal de la Federación, en relación con los artículos 122, fracción III, 123, fracción IV, 130 y 133 del mismo ordenamiento, y actualiza la causal del artículo 51, fracción III, de la Ley Federal de Procedimiento Contencioso Administrativo.</w:t>
      </w:r>
    </w:p>
    <w:p>
      <w:pPr>
        <w:spacing w:line="360" w:lineRule="auto"/>
        <w:jc w:val="both"/>
      </w:pPr>
      <w:r>
        <w:rPr>
          <w:rFonts w:ascii="Arial" w:hAnsi="Arial"/>
          <w:b/>
          <w:sz w:val="28"/>
        </w:rPr>
        <w:t>I. Síntesis del concepto.</w:t>
      </w:r>
    </w:p>
    <w:p>
      <w:pPr>
        <w:spacing w:line="360" w:lineRule="auto"/>
        <w:jc w:val="both"/>
      </w:pPr>
      <w:r>
        <w:rPr>
          <w:rFonts w:ascii="Arial" w:hAnsi="Arial"/>
          <w:b w:val="0"/>
          <w:i w:val="0"/>
          <w:sz w:val="28"/>
        </w:rPr>
        <w:t xml:space="preserve">En este apartado se demostrará que la resolución contenida en el oficio </w:t>
      </w:r>
      <w:r>
        <w:rPr>
          <w:rFonts w:ascii="Arial" w:hAnsi="Arial"/>
          <w:b/>
          <w:i w:val="0"/>
          <w:sz w:val="28"/>
        </w:rPr>
        <w:t>[NÚMERO DE OFICIO DE LA RESOLUCIÓN IMPUGNADA]</w:t>
      </w:r>
      <w:r>
        <w:rPr>
          <w:rFonts w:ascii="Arial" w:hAnsi="Arial"/>
          <w:b w:val="0"/>
          <w:i w:val="0"/>
          <w:sz w:val="28"/>
        </w:rPr>
        <w:t xml:space="preserve">, emitida por la </w:t>
      </w:r>
      <w:r>
        <w:rPr>
          <w:rFonts w:ascii="Arial" w:hAnsi="Arial"/>
          <w:b/>
          <w:i w:val="0"/>
          <w:sz w:val="28"/>
        </w:rPr>
        <w:t>[AUTORIDAD DEMANDADA]</w:t>
      </w:r>
      <w:r>
        <w:rPr>
          <w:rFonts w:ascii="Arial" w:hAnsi="Arial"/>
          <w:b w:val="0"/>
          <w:i w:val="0"/>
          <w:sz w:val="28"/>
        </w:rPr>
        <w:t xml:space="preserve"> al resolver el recurso de revocación </w:t>
      </w:r>
      <w:r>
        <w:rPr>
          <w:rFonts w:ascii="Arial" w:hAnsi="Arial"/>
          <w:b/>
          <w:i w:val="0"/>
          <w:sz w:val="28"/>
        </w:rPr>
        <w:t>[NÚMERO DEL RECURSO DE REVOCACIÓN]</w:t>
      </w:r>
      <w:r>
        <w:rPr>
          <w:rFonts w:ascii="Arial" w:hAnsi="Arial"/>
          <w:b w:val="0"/>
          <w:i w:val="0"/>
          <w:sz w:val="28"/>
        </w:rPr>
        <w:t xml:space="preserve">, es ilegal porque, pese a tener a la vista los agravios y las pruebas que </w:t>
      </w:r>
      <w:r>
        <w:rPr>
          <w:rFonts w:ascii="Arial" w:hAnsi="Arial"/>
          <w:b/>
          <w:i w:val="0"/>
          <w:sz w:val="28"/>
        </w:rPr>
        <w:t>[NOMBRE DE LA PARTE ACTORA]</w:t>
      </w:r>
      <w:r>
        <w:rPr>
          <w:rFonts w:ascii="Arial" w:hAnsi="Arial"/>
          <w:b w:val="0"/>
          <w:i w:val="0"/>
          <w:sz w:val="28"/>
        </w:rPr>
        <w:t xml:space="preserve"> aportó en ese recurso, la autoridad se abstuvo de valorarlas, no se pronunció sobre la procedencia del saldo a favor cuya devolución se solicitó y se limitó a dejar insubsistente la resolución recurrida para que la autoridad de origen emitiera una nueva.</w:t>
      </w:r>
    </w:p>
    <w:p>
      <w:pPr>
        <w:spacing w:line="360" w:lineRule="auto"/>
        <w:jc w:val="both"/>
      </w:pPr>
      <w:r>
        <w:rPr>
          <w:rFonts w:ascii="Arial" w:hAnsi="Arial"/>
          <w:b w:val="0"/>
          <w:i w:val="0"/>
          <w:sz w:val="28"/>
        </w:rPr>
        <w:t>La demostración descansa en una premisa normativa sencilla: el recurso de revocación es, por diseño legislativo, la instancia en la que la persona contribuyente puede ofrecer las pruebas que no exhibió ante la autoridad fiscalizadora, y esa prerrogativa tiene como correlato la obligación de la autoridad resolutora de admitirlas, desahogarlas y valorarlas. El artículo 132 del Código Fiscal de la Federación manda examinar todos y cada uno de los agravios, y el artículo 133 otorga a la resolutora la potestad de modificar el acto recurrido o de dictar uno nuevo que lo sustituya.</w:t>
      </w:r>
    </w:p>
    <w:p>
      <w:pPr>
        <w:spacing w:line="360" w:lineRule="auto"/>
        <w:jc w:val="both"/>
      </w:pPr>
      <w:r>
        <w:rPr>
          <w:rFonts w:ascii="Arial" w:hAnsi="Arial"/>
          <w:b w:val="0"/>
          <w:i w:val="0"/>
          <w:sz w:val="28"/>
        </w:rPr>
        <w:t>Se demostrará también que el reenvío a la autoridad de origen no es una salida discrecional: sólo se justifica cuando la resolutora carece de los elementos para decidir el fondo, carencia que debe motivar expresamente; que la potestad de valorar pruebas nuevas existe aunque el Reglamento Interior del Servicio de Administración Tributaria no la enuncie con esas palabras; y que la resolución impugnada es, además, incongruente consigo misma, pues ordena valorar todo y, a la vez, califica de inoportunos diversos elementos de convicción.</w:t>
      </w:r>
    </w:p>
    <w:p>
      <w:pPr>
        <w:spacing w:line="360" w:lineRule="auto"/>
        <w:jc w:val="both"/>
      </w:pPr>
      <w:r>
        <w:rPr>
          <w:rFonts w:ascii="Arial" w:hAnsi="Arial"/>
          <w:b w:val="0"/>
          <w:i w:val="0"/>
          <w:sz w:val="28"/>
        </w:rPr>
        <w:t>La consecuencia es la actualización de la causal del artículo 51, fracción III, de la Ley Federal de Procedimiento Contencioso Administrativo, por tratarse de un vicio del procedimiento que trascendió al sentido de la resolución impugnada y de la recurrida. Con apoyo en el principio de litis abierta se pedirá, como pretensión principal, que esta Sala reconozca el derecho subjetivo a la devolución y, de manera subsidiaria, la nulidad para el efecto de que la resolutora valore todas las pruebas y decida la procedencia del saldo a favor.</w:t>
      </w:r>
    </w:p>
    <w:p>
      <w:pPr>
        <w:spacing w:line="360" w:lineRule="auto"/>
        <w:jc w:val="both"/>
      </w:pPr>
      <w:r>
        <w:rPr>
          <w:rFonts w:ascii="Arial" w:hAnsi="Arial"/>
          <w:b/>
          <w:sz w:val="28"/>
        </w:rPr>
        <w:t>II. Planteamiento.</w:t>
      </w:r>
    </w:p>
    <w:p>
      <w:pPr>
        <w:spacing w:line="360" w:lineRule="auto"/>
        <w:jc w:val="both"/>
      </w:pPr>
      <w:r>
        <w:rPr>
          <w:rFonts w:ascii="Arial" w:hAnsi="Arial"/>
          <w:b w:val="0"/>
          <w:i w:val="0"/>
          <w:sz w:val="28"/>
        </w:rPr>
        <w:t xml:space="preserve">El acto cuya nulidad se demanda es la resolución contenida en el oficio </w:t>
      </w:r>
      <w:r>
        <w:rPr>
          <w:rFonts w:ascii="Arial" w:hAnsi="Arial"/>
          <w:b/>
          <w:i w:val="0"/>
          <w:sz w:val="28"/>
        </w:rPr>
        <w:t>[NÚMERO DE OFICIO DE LA RESOLUCIÓN IMPUGNADA]</w:t>
      </w:r>
      <w:r>
        <w:rPr>
          <w:rFonts w:ascii="Arial" w:hAnsi="Arial"/>
          <w:b w:val="0"/>
          <w:i w:val="0"/>
          <w:sz w:val="28"/>
        </w:rPr>
        <w:t xml:space="preserve">, de </w:t>
      </w:r>
      <w:r>
        <w:rPr>
          <w:rFonts w:ascii="Arial" w:hAnsi="Arial"/>
          <w:b/>
          <w:i w:val="0"/>
          <w:sz w:val="28"/>
        </w:rPr>
        <w:t>[FECHA DE EMISIÓN DE LA RESOLUCIÓN IMPUGNADA]</w:t>
      </w:r>
      <w:r>
        <w:rPr>
          <w:rFonts w:ascii="Arial" w:hAnsi="Arial"/>
          <w:b w:val="0"/>
          <w:i w:val="0"/>
          <w:sz w:val="28"/>
        </w:rPr>
        <w:t xml:space="preserve">, notificada el </w:t>
      </w:r>
      <w:r>
        <w:rPr>
          <w:rFonts w:ascii="Arial" w:hAnsi="Arial"/>
          <w:b/>
          <w:i w:val="0"/>
          <w:sz w:val="28"/>
        </w:rPr>
        <w:t>[FECHA DE NOTIFICACIÓN DE LA RESOLUCIÓN IMPUGNADA]</w:t>
      </w:r>
      <w:r>
        <w:rPr>
          <w:rFonts w:ascii="Arial" w:hAnsi="Arial"/>
          <w:b w:val="0"/>
          <w:i w:val="0"/>
          <w:sz w:val="28"/>
        </w:rPr>
        <w:t xml:space="preserve">, por la que la </w:t>
      </w:r>
      <w:r>
        <w:rPr>
          <w:rFonts w:ascii="Arial" w:hAnsi="Arial"/>
          <w:b/>
          <w:i w:val="0"/>
          <w:sz w:val="28"/>
        </w:rPr>
        <w:t>[AUTORIDAD DEMANDADA]</w:t>
      </w:r>
      <w:r>
        <w:rPr>
          <w:rFonts w:ascii="Arial" w:hAnsi="Arial"/>
          <w:b w:val="0"/>
          <w:i w:val="0"/>
          <w:sz w:val="28"/>
        </w:rPr>
        <w:t xml:space="preserve"> resolvió el recurso de revocación </w:t>
      </w:r>
      <w:r>
        <w:rPr>
          <w:rFonts w:ascii="Arial" w:hAnsi="Arial"/>
          <w:b/>
          <w:i w:val="0"/>
          <w:sz w:val="28"/>
        </w:rPr>
        <w:t>[NÚMERO DEL RECURSO DE REVOCACIÓN]</w:t>
      </w:r>
      <w:r>
        <w:rPr>
          <w:rFonts w:ascii="Arial" w:hAnsi="Arial"/>
          <w:b w:val="0"/>
          <w:i w:val="0"/>
          <w:sz w:val="28"/>
        </w:rPr>
        <w:t xml:space="preserve">, interpuesto contra el oficio </w:t>
      </w:r>
      <w:r>
        <w:rPr>
          <w:rFonts w:ascii="Arial" w:hAnsi="Arial"/>
          <w:b/>
          <w:i w:val="0"/>
          <w:sz w:val="28"/>
        </w:rPr>
        <w:t>[NÚMERO DE OFICIO DE LA RESOLUCIÓN RECURRIDA]</w:t>
      </w:r>
      <w:r>
        <w:rPr>
          <w:rFonts w:ascii="Arial" w:hAnsi="Arial"/>
          <w:b w:val="0"/>
          <w:i w:val="0"/>
          <w:sz w:val="28"/>
        </w:rPr>
        <w:t xml:space="preserve">, de la </w:t>
      </w:r>
      <w:r>
        <w:rPr>
          <w:rFonts w:ascii="Arial" w:hAnsi="Arial"/>
          <w:b/>
          <w:i w:val="0"/>
          <w:sz w:val="28"/>
        </w:rPr>
        <w:t>[AUTORIDAD EMISORA DE LA RESOLUCIÓN RECURRIDA]</w:t>
      </w:r>
      <w:r>
        <w:rPr>
          <w:rFonts w:ascii="Arial" w:hAnsi="Arial"/>
          <w:b w:val="0"/>
          <w:i w:val="0"/>
          <w:sz w:val="28"/>
        </w:rPr>
        <w:t xml:space="preserve">, que negó la devolución del saldo a favor del impuesto al valor agregado de </w:t>
      </w:r>
      <w:r>
        <w:rPr>
          <w:rFonts w:ascii="Arial" w:hAnsi="Arial"/>
          <w:b/>
          <w:i w:val="0"/>
          <w:sz w:val="28"/>
        </w:rPr>
        <w:t>[PERIODO DEL SALDO A FAVOR]</w:t>
      </w:r>
      <w:r>
        <w:rPr>
          <w:rFonts w:ascii="Arial" w:hAnsi="Arial"/>
          <w:b w:val="0"/>
          <w:i w:val="0"/>
          <w:sz w:val="28"/>
        </w:rPr>
        <w:t xml:space="preserve">, por </w:t>
      </w:r>
      <w:r>
        <w:rPr>
          <w:rFonts w:ascii="Arial" w:hAnsi="Arial"/>
          <w:b/>
          <w:i w:val="0"/>
          <w:sz w:val="28"/>
        </w:rPr>
        <w:t>[MONTO DEL SALDO A FAVOR SOLICITADO]</w:t>
      </w:r>
      <w:r>
        <w:rPr>
          <w:rFonts w:ascii="Arial" w:hAnsi="Arial"/>
          <w:b w:val="0"/>
          <w:i w:val="0"/>
          <w:sz w:val="28"/>
        </w:rPr>
        <w:t>.</w:t>
      </w:r>
    </w:p>
    <w:p>
      <w:pPr>
        <w:spacing w:line="360" w:lineRule="auto"/>
        <w:jc w:val="both"/>
      </w:pPr>
      <w:r>
        <w:rPr>
          <w:rFonts w:ascii="Arial" w:hAnsi="Arial"/>
          <w:b w:val="0"/>
          <w:i w:val="0"/>
          <w:sz w:val="28"/>
        </w:rPr>
        <w:t>Conforme al artículo 1, segundo párrafo, de la Ley Federal de Procedimiento Contencioso Administrativo, al controvertirse la resolución recaída al recurso se entiende impugnada simultáneamente la resolución recurrida en la parte que continúa afectando a la parte actora, esto es, la negativa de devolución, y pueden hacerse valer conceptos de impugnación no planteados en el recurso. Este concepto se dirige contra la resolución del recurso, pero abarca también la recurrida por virtud de ese principio de litis abierta.</w:t>
      </w:r>
    </w:p>
    <w:p>
      <w:pPr>
        <w:spacing w:line="360" w:lineRule="auto"/>
        <w:jc w:val="both"/>
      </w:pPr>
      <w:r>
        <w:rPr>
          <w:rFonts w:ascii="Arial" w:hAnsi="Arial"/>
          <w:b w:val="0"/>
          <w:i w:val="0"/>
          <w:sz w:val="28"/>
        </w:rPr>
        <w:t>Las normas cuya inobservancia se plantea son los artículos 122, fracción III, 123, fracción IV, 130, 132 y 133 del Código Fiscal de la Federación, que regulan el ofrecimiento, la admisión y la valoración de pruebas en el recurso de revocación y los sentidos en que éste puede resolverse, así como el artículo 17 de la Constitución Política de los Estados Unidos Mexicanos, en cuanto garantiza que la justicia se imparta de manera pronta y completa, mandato que informa también la revisión de los actos administrativos en sede de recurso.</w:t>
      </w:r>
    </w:p>
    <w:p>
      <w:pPr>
        <w:spacing w:line="360" w:lineRule="auto"/>
        <w:jc w:val="both"/>
      </w:pPr>
      <w:r>
        <w:rPr>
          <w:rFonts w:ascii="Arial" w:hAnsi="Arial"/>
          <w:b w:val="0"/>
          <w:i w:val="0"/>
          <w:sz w:val="28"/>
        </w:rPr>
        <w:t xml:space="preserve">El perjuicio es concreto. El saldo a favor corresponde a </w:t>
      </w:r>
      <w:r>
        <w:rPr>
          <w:rFonts w:ascii="Arial" w:hAnsi="Arial"/>
          <w:b/>
          <w:i w:val="0"/>
          <w:sz w:val="28"/>
        </w:rPr>
        <w:t>[PERIODO DEL SALDO A FAVOR]</w:t>
      </w:r>
      <w:r>
        <w:rPr>
          <w:rFonts w:ascii="Arial" w:hAnsi="Arial"/>
          <w:b w:val="0"/>
          <w:i w:val="0"/>
          <w:sz w:val="28"/>
        </w:rPr>
        <w:t xml:space="preserve">; la devolución se solicitó el </w:t>
      </w:r>
      <w:r>
        <w:rPr>
          <w:rFonts w:ascii="Arial" w:hAnsi="Arial"/>
          <w:b/>
          <w:i w:val="0"/>
          <w:sz w:val="28"/>
        </w:rPr>
        <w:t>[FECHA DE PRESENTACIÓN DE LA SOLICITUD DE DEVOLUCIÓN]</w:t>
      </w:r>
      <w:r>
        <w:rPr>
          <w:rFonts w:ascii="Arial" w:hAnsi="Arial"/>
          <w:b w:val="0"/>
          <w:i w:val="0"/>
          <w:sz w:val="28"/>
        </w:rPr>
        <w:t xml:space="preserve"> y, tras la negativa y el recurso, la parte actora obtuvo únicamente un reenvío: una nueva resolución pendiente, a cargo de la misma autoridad que ya negó, sin que ninguna instancia haya dicho todavía si el saldo procede. Cada mes sin decisión de fondo prolonga la retención de recursos que son de la contribuyente y acrecienta la actualización y los intereses que, conforme a los artículos 17-A, 22 y 22-A del Código, habrán de cubrirse.</w:t>
      </w:r>
    </w:p>
    <w:p>
      <w:pPr>
        <w:spacing w:line="360" w:lineRule="auto"/>
        <w:jc w:val="both"/>
      </w:pPr>
      <w:r>
        <w:rPr>
          <w:rFonts w:ascii="Arial" w:hAnsi="Arial"/>
          <w:b w:val="0"/>
          <w:i w:val="0"/>
          <w:sz w:val="28"/>
        </w:rPr>
        <w:t>De prosperar este concepto, el beneficio es el mayor posible en el juicio: si esta Sala cuenta con los elementos, conforme al artículo 50, penúltimo párrafo, de la Ley Federal de Procedimiento Contencioso Administrativo, puede pronunciarse sobre la legalidad de la resolución recurrida y reconocer el derecho subjetivo a la devolución, con lo que el asunto termina en lugar de reiniciarse. Por ello se solicita su estudio preferente.</w:t>
      </w:r>
    </w:p>
    <w:p>
      <w:pPr>
        <w:spacing w:line="360" w:lineRule="auto"/>
        <w:jc w:val="both"/>
      </w:pPr>
      <w:r>
        <w:rPr>
          <w:rFonts w:ascii="Arial" w:hAnsi="Arial"/>
          <w:b/>
          <w:sz w:val="28"/>
        </w:rPr>
        <w:t>III. Desarrollo doctrinal y normativo. Premisa mayor.</w:t>
      </w:r>
    </w:p>
    <w:p>
      <w:pPr>
        <w:spacing w:line="360" w:lineRule="auto"/>
        <w:jc w:val="both"/>
      </w:pPr>
      <w:r>
        <w:rPr>
          <w:rFonts w:ascii="Arial" w:hAnsi="Arial"/>
          <w:b w:val="0"/>
          <w:i w:val="0"/>
          <w:sz w:val="28"/>
        </w:rPr>
        <w:t>Conviene partir de la naturaleza del recurso de revocación. La doctrina advierte que un recurso administrativo que la propia administración no toma en serio se vuelve inútil y genera desconfianza en quienes acuden ante el superior para que revise la actuación del inferior.</w:t>
      </w:r>
      <w:r>
        <w:rPr>
          <w:rFonts w:ascii="Arial" w:hAnsi="Arial"/>
          <w:vertAlign w:val="superscript"/>
        </w:rPr>
        <w:t>1</w:t>
      </w:r>
      <w:r>
        <w:rPr>
          <w:rFonts w:ascii="Arial" w:hAnsi="Arial"/>
          <w:b w:val="0"/>
          <w:i w:val="0"/>
          <w:sz w:val="28"/>
        </w:rPr>
        <w:t xml:space="preserve"> El recurso no es un trámite de paso hacia el juicio: es un mecanismo de autocontrol en el que la administración corrige sus propios actos, y sólo cumple esa función si la autoridad que lo resuelve decide efectivamente la cuestión planteada.</w:t>
      </w:r>
    </w:p>
    <w:p>
      <w:pPr>
        <w:spacing w:line="360" w:lineRule="auto"/>
        <w:jc w:val="both"/>
      </w:pPr>
      <w:r>
        <w:rPr>
          <w:rFonts w:ascii="Arial" w:hAnsi="Arial"/>
          <w:b w:val="0"/>
          <w:i w:val="0"/>
          <w:sz w:val="28"/>
        </w:rPr>
        <w:t xml:space="preserve">El Código Fiscal de la Federación recoge esa idea con reglas precisas. El artículo 122, fracción III, exige que el escrito del recurso señale </w:t>
      </w:r>
      <w:r>
        <w:rPr>
          <w:rFonts w:ascii="Arial" w:hAnsi="Arial"/>
          <w:b w:val="0"/>
          <w:i/>
          <w:sz w:val="28"/>
        </w:rPr>
        <w:t>«las pruebas y los hechos controvertidos de que se trate»</w:t>
      </w:r>
      <w:r>
        <w:rPr>
          <w:rFonts w:ascii="Arial" w:hAnsi="Arial"/>
          <w:b w:val="0"/>
          <w:i w:val="0"/>
          <w:sz w:val="28"/>
        </w:rPr>
        <w:t xml:space="preserve">; el artículo 123, fracción IV, ordena acompañar </w:t>
      </w:r>
      <w:r>
        <w:rPr>
          <w:rFonts w:ascii="Arial" w:hAnsi="Arial"/>
          <w:b w:val="0"/>
          <w:i/>
          <w:sz w:val="28"/>
        </w:rPr>
        <w:t>«las pruebas documentales que ofrezca y el dictamen pericial, en su caso»</w:t>
      </w:r>
      <w:r>
        <w:rPr>
          <w:rFonts w:ascii="Arial" w:hAnsi="Arial"/>
          <w:b w:val="0"/>
          <w:i w:val="0"/>
          <w:sz w:val="28"/>
        </w:rPr>
        <w:t xml:space="preserve">; y el artículo 130 dispone que en el recurso </w:t>
      </w:r>
      <w:r>
        <w:rPr>
          <w:rFonts w:ascii="Arial" w:hAnsi="Arial"/>
          <w:b w:val="0"/>
          <w:i/>
          <w:sz w:val="28"/>
        </w:rPr>
        <w:t>«se admitirá toda clase de pruebas, excepto la testimonial y la de confesión de las autoridades mediante absolución de posiciones»</w:t>
      </w:r>
      <w:r>
        <w:rPr>
          <w:rFonts w:ascii="Arial" w:hAnsi="Arial"/>
          <w:b w:val="0"/>
          <w:i w:val="0"/>
          <w:sz w:val="28"/>
        </w:rPr>
        <w:t>. El recurso es, por texto expreso, una instancia probatoria.</w:t>
      </w:r>
    </w:p>
    <w:p>
      <w:pPr>
        <w:spacing w:line="360" w:lineRule="auto"/>
        <w:jc w:val="both"/>
      </w:pPr>
      <w:r>
        <w:rPr>
          <w:rFonts w:ascii="Arial" w:hAnsi="Arial"/>
          <w:b w:val="0"/>
          <w:i w:val="0"/>
          <w:sz w:val="28"/>
        </w:rPr>
        <w:t>Esa instancia se amplió con la reforma publicada en el Diario Oficial de la Federación el 6 de mayo de 2009, que adicionó el último párrafo del artículo 123 y el segundo párrafo del artículo 130 para permitir al recurrente ofrecer las pruebas que por cualquier motivo no exhibió ante la autoridad fiscalizadora. La finalidad declarada fue recuperar la naturaleza del recurso como oportunidad de solución de las controversias en sede administrativa, y ello, como lo ha reconocido la Sala en casos análogos, genera la obligación correlativa de la resolutora de admitir, desahogar y valorar esas pruebas.</w:t>
      </w:r>
    </w:p>
    <w:p>
      <w:pPr>
        <w:spacing w:line="360" w:lineRule="auto"/>
        <w:jc w:val="both"/>
      </w:pPr>
      <w:r>
        <w:rPr>
          <w:rFonts w:ascii="Arial" w:hAnsi="Arial"/>
          <w:b w:val="0"/>
          <w:i w:val="0"/>
          <w:sz w:val="28"/>
        </w:rPr>
        <w:t>La prerrogativa no se limita a los actos derivados de facultades de comprobación. El legislador se refirió de manera genérica a las pruebas no ofrecidas en el procedimiento administrativo previo, y el procedimiento de devolución del artículo 22 del Código es uno de esos procedimientos, de modo que quien recurre una negativa de devolución puede exhibir en el recurso documentación nueva y la resolutora está obligada a valorarla, como lo ha reconocido la Sala en casos análogos. Sostener lo contrario vaciaría el derecho a probar los hechos constitutivos de la propia pretensión.</w:t>
      </w:r>
    </w:p>
    <w:p>
      <w:pPr>
        <w:spacing w:line="360" w:lineRule="auto"/>
        <w:jc w:val="both"/>
      </w:pPr>
      <w:r>
        <w:rPr>
          <w:rFonts w:ascii="Arial" w:hAnsi="Arial"/>
          <w:b w:val="0"/>
          <w:i w:val="0"/>
          <w:sz w:val="28"/>
        </w:rPr>
        <w:t>Ese derecho a probar no se agota en el ofrecimiento. La doctrina de los derechos humanos explica que la prueba no sólo debe admitirse y desahogarse cuando sea pertinente, sino que debe ser valorada y tener una incidencia lógica y jurídica, proporcional a su importancia, en la decisión que se adopte.</w:t>
      </w:r>
      <w:r>
        <w:rPr>
          <w:rFonts w:ascii="Arial" w:hAnsi="Arial"/>
          <w:vertAlign w:val="superscript"/>
        </w:rPr>
        <w:t>2</w:t>
      </w:r>
      <w:r>
        <w:rPr>
          <w:rFonts w:ascii="Arial" w:hAnsi="Arial"/>
          <w:b w:val="0"/>
          <w:i w:val="0"/>
          <w:sz w:val="28"/>
        </w:rPr>
        <w:t xml:space="preserve"> Una autoridad que enlista las pruebas, las tiene por recibidas y después no dice nada sobre ellas satisface la forma del derecho y le niega su sustancia.</w:t>
      </w:r>
    </w:p>
    <w:p>
      <w:pPr>
        <w:spacing w:line="360" w:lineRule="auto"/>
        <w:jc w:val="both"/>
      </w:pPr>
      <w:r>
        <w:rPr>
          <w:rFonts w:ascii="Arial" w:hAnsi="Arial"/>
          <w:b w:val="0"/>
          <w:i w:val="0"/>
          <w:sz w:val="28"/>
        </w:rPr>
        <w:t xml:space="preserve">El artículo 132 del Código fija el estándar de la resolución: </w:t>
      </w:r>
      <w:r>
        <w:rPr>
          <w:rFonts w:ascii="Arial" w:hAnsi="Arial"/>
          <w:b w:val="0"/>
          <w:i/>
          <w:sz w:val="28"/>
        </w:rPr>
        <w:t>«se fundará en derecho y examinará todos y cada uno de los agravios hechos valer por el recurrente»</w:t>
      </w:r>
      <w:r>
        <w:rPr>
          <w:rFonts w:ascii="Arial" w:hAnsi="Arial"/>
          <w:b w:val="0"/>
          <w:i w:val="0"/>
          <w:sz w:val="28"/>
        </w:rPr>
        <w:t xml:space="preserve">, con facultad de corregir errores en la cita de preceptos y de examinar en conjunto los razonamientos </w:t>
      </w:r>
      <w:r>
        <w:rPr>
          <w:rFonts w:ascii="Arial" w:hAnsi="Arial"/>
          <w:b w:val="0"/>
          <w:i/>
          <w:sz w:val="28"/>
        </w:rPr>
        <w:t>«a fin de resolver la cuestión efectivamente planteada»</w:t>
      </w:r>
      <w:r>
        <w:rPr>
          <w:rFonts w:ascii="Arial" w:hAnsi="Arial"/>
          <w:b w:val="0"/>
          <w:i w:val="0"/>
          <w:sz w:val="28"/>
        </w:rPr>
        <w:t>. La doctrina procesal identifica esa exigencia con el principio de exhaustividad: sin llegar al extremo de contestar renglón a renglón, quien decide debe analizar en su integridad el planteamiento del problema.</w:t>
      </w:r>
      <w:r>
        <w:rPr>
          <w:rFonts w:ascii="Arial" w:hAnsi="Arial"/>
          <w:vertAlign w:val="superscript"/>
        </w:rPr>
        <w:t>3</w:t>
      </w:r>
    </w:p>
    <w:p>
      <w:pPr>
        <w:spacing w:line="360" w:lineRule="auto"/>
        <w:jc w:val="both"/>
      </w:pPr>
      <w:r>
        <w:rPr>
          <w:rFonts w:ascii="Arial" w:hAnsi="Arial"/>
          <w:b w:val="0"/>
          <w:i w:val="0"/>
          <w:sz w:val="28"/>
        </w:rPr>
        <w:t>Congruencia, exhaustividad y motivación son, en palabras de la doctrina, las reglas básicas de carácter formal de toda decisión, y la congruencia exige que lo decidido corresponda exacta y puntualmente con lo planteado.</w:t>
      </w:r>
      <w:r>
        <w:rPr>
          <w:rFonts w:ascii="Arial" w:hAnsi="Arial"/>
          <w:vertAlign w:val="superscript"/>
        </w:rPr>
        <w:t>4</w:t>
      </w:r>
      <w:r>
        <w:rPr>
          <w:rFonts w:ascii="Arial" w:hAnsi="Arial"/>
          <w:b w:val="0"/>
          <w:i w:val="0"/>
          <w:sz w:val="28"/>
        </w:rPr>
        <w:t xml:space="preserve"> Cuando la cuestión planteada es si procede o no un saldo a favor, la resolución que no responde a esa pregunta no es exhaustiva, y la que ordena valorar todo mientras descalifica parte de lo aportado no es congruente.</w:t>
      </w:r>
    </w:p>
    <w:p>
      <w:pPr>
        <w:spacing w:line="360" w:lineRule="auto"/>
        <w:jc w:val="both"/>
      </w:pPr>
      <w:r>
        <w:rPr>
          <w:rFonts w:ascii="Arial" w:hAnsi="Arial"/>
          <w:b w:val="0"/>
          <w:i w:val="0"/>
          <w:sz w:val="28"/>
        </w:rPr>
        <w:t xml:space="preserve">El artículo 133 completa el sistema al enumerar los sentidos posibles de la resolución: desechar, confirmar, </w:t>
      </w:r>
      <w:r>
        <w:rPr>
          <w:rFonts w:ascii="Arial" w:hAnsi="Arial"/>
          <w:b w:val="0"/>
          <w:i/>
          <w:sz w:val="28"/>
        </w:rPr>
        <w:t>«mandar reponer el procedimiento administrativo o que se emita una nueva resolución»</w:t>
      </w:r>
      <w:r>
        <w:rPr>
          <w:rFonts w:ascii="Arial" w:hAnsi="Arial"/>
          <w:b w:val="0"/>
          <w:i w:val="0"/>
          <w:sz w:val="28"/>
        </w:rPr>
        <w:t xml:space="preserve">, dejar sin efectos el acto, o </w:t>
      </w:r>
      <w:r>
        <w:rPr>
          <w:rFonts w:ascii="Arial" w:hAnsi="Arial"/>
          <w:b w:val="0"/>
          <w:i/>
          <w:sz w:val="28"/>
        </w:rPr>
        <w:t>«modificar el acto impugnado o dictar uno nuevo que lo sustituya, cuando el recurso interpuesto sea total o parcialmente resuelto a favor del recurrente»</w:t>
      </w:r>
      <w:r>
        <w:rPr>
          <w:rFonts w:ascii="Arial" w:hAnsi="Arial"/>
          <w:b w:val="0"/>
          <w:i w:val="0"/>
          <w:sz w:val="28"/>
        </w:rPr>
        <w:t>. La fracción V no es decorativa: si la resolutora puede sustituir el acto por uno nuevo, es porque puede valorar las pruebas que le permiten hacerlo.</w:t>
      </w:r>
    </w:p>
    <w:p>
      <w:pPr>
        <w:spacing w:line="360" w:lineRule="auto"/>
        <w:jc w:val="both"/>
      </w:pPr>
      <w:r>
        <w:rPr>
          <w:rFonts w:ascii="Arial" w:hAnsi="Arial"/>
          <w:b w:val="0"/>
          <w:i w:val="0"/>
          <w:sz w:val="28"/>
        </w:rPr>
        <w:t>De ahí que la autoridad que resuelve el recurso quede sujeta a dos principios, como lo ha reconocido la Sala en casos análogos: el de plenitud de jurisdicción, que le permite sustituirse a la autoridad de origen y otorgar una reparación total e inmediata cuando cuenta con los elementos necesarios, y el de reenvío, que opera sólo cuando carece de esos elementos y devuelve el asunto para que la autoridad de origen lo estudie de nuevo. La regla es la plenitud; el reenvío es la excepción, y toda excepción exige motivarse.</w:t>
      </w:r>
    </w:p>
    <w:p>
      <w:pPr>
        <w:spacing w:line="360" w:lineRule="auto"/>
        <w:jc w:val="both"/>
      </w:pPr>
      <w:r>
        <w:rPr>
          <w:rFonts w:ascii="Arial" w:hAnsi="Arial"/>
          <w:b w:val="0"/>
          <w:i w:val="0"/>
          <w:sz w:val="28"/>
        </w:rPr>
        <w:t>Importa subrayar dos precisiones que la Sala ha hecho en casos análogos. Primera: la potestad de valorar las pruebas nuevas aportadas en el recurso existe aunque el Reglamento Interior del Servicio de Administración Tributaria no la confiera de manera expresa a la unidad resolutora o la atribuya a otra, porque nace de los artículos 132 y 133 del Código. Segunda: al valorarlas, la resolutora no se sustituye indebidamente en las facultades de la fiscalizadora; ejerce las suyas propias, y sólo una imposibilidad material, expresada y fundada, la relevaría de hacerlo.</w:t>
      </w:r>
    </w:p>
    <w:p>
      <w:pPr>
        <w:spacing w:line="360" w:lineRule="auto"/>
        <w:jc w:val="both"/>
      </w:pPr>
      <w:r>
        <w:rPr>
          <w:rFonts w:ascii="Arial" w:hAnsi="Arial"/>
          <w:b w:val="0"/>
          <w:i w:val="0"/>
          <w:sz w:val="28"/>
        </w:rPr>
        <w:t>Por último, la omisión de valorar pruebas en el recurso no es una irregularidad inocua. Constituye una violación de carácter formal que deja al recurrente en estado de indefensión, porque le priva de los elementos para formular una defensa adecuada frente a la decisión, como lo ha reconocido la Sala en casos análogos con apoyo en el artículo 16 constitucional; y, cuando trasciende al sentido de la resolución, encuadra en la causal del artículo 51, fracción III, de la Ley Federal de Procedimiento Contencioso Administrativo.</w:t>
      </w:r>
    </w:p>
    <w:p>
      <w:pPr>
        <w:spacing w:line="360" w:lineRule="auto"/>
        <w:jc w:val="both"/>
      </w:pPr>
      <w:r>
        <w:rPr>
          <w:rFonts w:ascii="Arial" w:hAnsi="Arial"/>
          <w:b/>
          <w:sz w:val="28"/>
        </w:rPr>
        <w:t>IV. Aplicación al caso concreto y refutación de la motivación de la autoridad.</w:t>
      </w:r>
    </w:p>
    <w:p>
      <w:pPr>
        <w:spacing w:line="360" w:lineRule="auto"/>
        <w:jc w:val="both"/>
      </w:pPr>
      <w:r>
        <w:rPr>
          <w:rFonts w:ascii="Arial" w:hAnsi="Arial"/>
          <w:b w:val="0"/>
          <w:i w:val="0"/>
          <w:sz w:val="28"/>
        </w:rPr>
        <w:t xml:space="preserve">Los hechos encuadran con exactitud en la premisa expuesta. El </w:t>
      </w:r>
      <w:r>
        <w:rPr>
          <w:rFonts w:ascii="Arial" w:hAnsi="Arial"/>
          <w:b/>
          <w:i w:val="0"/>
          <w:sz w:val="28"/>
        </w:rPr>
        <w:t>[FECHA DE PRESENTACIÓN DEL RECURSO DE REVOCACIÓN]</w:t>
      </w:r>
      <w:r>
        <w:rPr>
          <w:rFonts w:ascii="Arial" w:hAnsi="Arial"/>
          <w:b w:val="0"/>
          <w:i w:val="0"/>
          <w:sz w:val="28"/>
        </w:rPr>
        <w:t xml:space="preserve"> la parte actora interpuso el recurso de revocación contra la negativa de devolución; en el escrito explicó el origen del saldo a favor y acompañó </w:t>
      </w:r>
      <w:r>
        <w:rPr>
          <w:rFonts w:ascii="Arial" w:hAnsi="Arial"/>
          <w:b/>
          <w:i w:val="0"/>
          <w:sz w:val="28"/>
        </w:rPr>
        <w:t>[RELACIÓN DE PRUEBAS APORTADAS EN EL RECURSO DE REVOCACIÓN]</w:t>
      </w:r>
      <w:r>
        <w:rPr>
          <w:rFonts w:ascii="Arial" w:hAnsi="Arial"/>
          <w:b w:val="0"/>
          <w:i w:val="0"/>
          <w:sz w:val="28"/>
        </w:rPr>
        <w:t>, documentación con la que sustentó su derecho. Se trataba de pruebas ofrecidas en la instancia y en la forma que los artículos 122, fracción III, 123, fracción IV, y 130 del Código autorizan, de modo que la resolutora debía admitirlas, desahogarlas y valorarlas.</w:t>
      </w:r>
    </w:p>
    <w:p>
      <w:pPr>
        <w:spacing w:line="360" w:lineRule="auto"/>
        <w:jc w:val="both"/>
      </w:pPr>
      <w:r>
        <w:rPr>
          <w:rFonts w:ascii="Arial" w:hAnsi="Arial"/>
          <w:b w:val="0"/>
          <w:i w:val="0"/>
          <w:sz w:val="28"/>
        </w:rPr>
        <w:t xml:space="preserve">La resolución impugnada, sin embargo, se limitó a advertir que la resolución recurrida adolecía de </w:t>
      </w:r>
      <w:r>
        <w:rPr>
          <w:rFonts w:ascii="Arial" w:hAnsi="Arial"/>
          <w:b/>
          <w:i w:val="0"/>
          <w:sz w:val="28"/>
        </w:rPr>
        <w:t>[VICIO QUE LA RESOLUTORA ADVIRTIÓ EN LA RESOLUCIÓN RECURRIDA]</w:t>
      </w:r>
      <w:r>
        <w:rPr>
          <w:rFonts w:ascii="Arial" w:hAnsi="Arial"/>
          <w:b w:val="0"/>
          <w:i w:val="0"/>
          <w:sz w:val="28"/>
        </w:rPr>
        <w:t>, declaró parcialmente fundados los agravios, dejó insubsistente la negativa y ordenó a la autoridad de origen dictar una nueva resolución en la que valorara los argumentos y la documentación exhibida. Cita las pruebas; no las valora. Reconoce que hay argumentos sobre la procedencia del saldo; no los resuelve. La pregunta planteada, si procede la devolución, quedó sin respuesta.</w:t>
      </w:r>
    </w:p>
    <w:p>
      <w:pPr>
        <w:spacing w:line="360" w:lineRule="auto"/>
        <w:jc w:val="both"/>
      </w:pPr>
      <w:r>
        <w:rPr>
          <w:rFonts w:ascii="Arial" w:hAnsi="Arial"/>
          <w:b w:val="0"/>
          <w:i w:val="0"/>
          <w:sz w:val="28"/>
        </w:rPr>
        <w:t>La subsunción es directa. El artículo 132 obligaba a examinar todos y cada uno de los agravios y a resolver la cuestión efectivamente planteada; la cuestión planteada era la procedencia del saldo a favor; la resolutora tenía a la vista las pruebas del procedimiento de devolución y las nuevas del recurso; no expresó imposibilidad material alguna para valorarlas; y aun así reenvió. Omitió, pues, un acto del procedimiento que la ley le imponía, y esa omisión trascendió al sentido de la resolución, que fue de reenvío en lugar de decisión. Se actualiza la causal del artículo 51, fracción III.</w:t>
      </w:r>
    </w:p>
    <w:p>
      <w:pPr>
        <w:spacing w:line="360" w:lineRule="auto"/>
        <w:jc w:val="both"/>
      </w:pPr>
      <w:r>
        <w:rPr>
          <w:rFonts w:ascii="Arial" w:hAnsi="Arial"/>
          <w:b w:val="0"/>
          <w:i w:val="0"/>
          <w:sz w:val="28"/>
        </w:rPr>
        <w:t>La motivación con que la autoridad justifica el reenvío es lógicamente inválida por tres razones independientes. En primer lugar, incurre en la falacia de eludir la cuestión, que consiste en probar otra cosa diferente de la que se cuestiona.</w:t>
      </w:r>
      <w:r>
        <w:rPr>
          <w:rFonts w:ascii="Arial" w:hAnsi="Arial"/>
          <w:vertAlign w:val="superscript"/>
        </w:rPr>
        <w:t>5</w:t>
      </w:r>
      <w:r>
        <w:rPr>
          <w:rFonts w:ascii="Arial" w:hAnsi="Arial"/>
          <w:b w:val="0"/>
          <w:i w:val="0"/>
          <w:sz w:val="28"/>
        </w:rPr>
        <w:t xml:space="preserve"> La recurrente preguntó si procede la devolución; la autoridad demostró que la negativa adolecía de </w:t>
      </w:r>
      <w:r>
        <w:rPr>
          <w:rFonts w:ascii="Arial" w:hAnsi="Arial"/>
          <w:b/>
          <w:i w:val="0"/>
          <w:sz w:val="28"/>
        </w:rPr>
        <w:t>[VICIO QUE LA RESOLUTORA ADVIRTIÓ EN LA RESOLUCIÓN RECURRIDA]</w:t>
      </w:r>
      <w:r>
        <w:rPr>
          <w:rFonts w:ascii="Arial" w:hAnsi="Arial"/>
          <w:b w:val="0"/>
          <w:i w:val="0"/>
          <w:sz w:val="28"/>
        </w:rPr>
        <w:t>. Lo segundo es cierto, pero no responde a lo primero: se puede tener razón sobre el vicio de la recurrida y seguir debiendo la respuesta de fondo que el artículo 132 exige.</w:t>
      </w:r>
    </w:p>
    <w:p>
      <w:pPr>
        <w:spacing w:line="360" w:lineRule="auto"/>
        <w:jc w:val="both"/>
      </w:pPr>
      <w:r>
        <w:rPr>
          <w:rFonts w:ascii="Arial" w:hAnsi="Arial"/>
          <w:b w:val="0"/>
          <w:i w:val="0"/>
          <w:sz w:val="28"/>
        </w:rPr>
        <w:t>En segundo lugar, el reenvío descansa en un falso dilema. La autoridad razona como si sólo tuviera dos caminos: valorar ella misma unas pruebas cuyo examen, supone, corresponde a la unidad de auditoría, o devolver el asunto para que esa unidad las valore. La doctrina enseña que el dilema es falso cuando sus términos no son exhaustivos y el adversario descubre una tercera vía.</w:t>
      </w:r>
      <w:r>
        <w:rPr>
          <w:rFonts w:ascii="Arial" w:hAnsi="Arial"/>
          <w:vertAlign w:val="superscript"/>
        </w:rPr>
        <w:t>6</w:t>
      </w:r>
      <w:r>
        <w:rPr>
          <w:rFonts w:ascii="Arial" w:hAnsi="Arial"/>
          <w:b w:val="0"/>
          <w:i w:val="0"/>
          <w:sz w:val="28"/>
        </w:rPr>
        <w:t xml:space="preserve"> La tercera vía está en la ley: los artículos 132 y 133 del Código facultan a la resolutora para valorar las pruebas nuevas y dictar un acto que sustituya al recurrido.</w:t>
      </w:r>
    </w:p>
    <w:p>
      <w:pPr>
        <w:spacing w:line="360" w:lineRule="auto"/>
        <w:jc w:val="both"/>
      </w:pPr>
      <w:r>
        <w:rPr>
          <w:rFonts w:ascii="Arial" w:hAnsi="Arial"/>
          <w:b w:val="0"/>
          <w:i w:val="0"/>
          <w:sz w:val="28"/>
        </w:rPr>
        <w:t>En tercer lugar, la resolución es incongruente consigo misma. Por una parte, deja sin efectos la negativa para que se emita una nueva resolución en la que se valoren todos los argumentos y las pruebas de la contribuyente; por otra, formula consideraciones sobre la supuesta inoportunidad de diversos elementos de convicción. No puede ordenarse que todo se valore y, en el mismo acto, adelantar que parte de ello no merece valorarse: la contradicción impide a la recurrente conocer con certeza las razones de la decisión y deja a la autoridad de origen instrucciones incompatibles entre sí.</w:t>
      </w:r>
    </w:p>
    <w:p>
      <w:pPr>
        <w:spacing w:line="360" w:lineRule="auto"/>
        <w:jc w:val="both"/>
      </w:pPr>
      <w:r>
        <w:rPr>
          <w:rFonts w:ascii="Arial" w:hAnsi="Arial"/>
          <w:b w:val="0"/>
          <w:i w:val="0"/>
          <w:sz w:val="28"/>
        </w:rPr>
        <w:t xml:space="preserve">Tampoco salva el vicio la idea de que el reenvío beneficia a la contribuyente porque la negativa quedó insubsistente. Un recurso resuelto a favor </w:t>
      </w:r>
      <w:r>
        <w:rPr>
          <w:rFonts w:ascii="Arial" w:hAnsi="Arial"/>
          <w:b w:val="0"/>
          <w:i/>
          <w:sz w:val="28"/>
        </w:rPr>
        <w:t>«para efectos»</w:t>
      </w:r>
      <w:r>
        <w:rPr>
          <w:rFonts w:ascii="Arial" w:hAnsi="Arial"/>
          <w:b w:val="0"/>
          <w:i w:val="0"/>
          <w:sz w:val="28"/>
        </w:rPr>
        <w:t xml:space="preserve"> que devuelve el expediente a la autoridad que ya negó, sin fijar criterio alguno sobre la procedencia del saldo, no repara nada: reabre el procedimiento, con el riesgo de una segunda negativa y de un segundo recurso, y desplaza al futuro la decisión que la ley quería en sede de revocación. Ése es precisamente el escenario que la reforma de 2009 quiso evitar al convertir el recurso en una instancia probatoria plena.</w:t>
      </w:r>
    </w:p>
    <w:p>
      <w:pPr>
        <w:spacing w:line="360" w:lineRule="auto"/>
        <w:jc w:val="both"/>
      </w:pPr>
      <w:r>
        <w:rPr>
          <w:rFonts w:ascii="Arial" w:hAnsi="Arial"/>
          <w:b w:val="0"/>
          <w:i w:val="0"/>
          <w:sz w:val="28"/>
        </w:rPr>
        <w:t>Debe descartarse asimismo cualquier pretexto de incompetencia. Como lo ha reconocido la Sala en casos análogos, la resolutora del recurso tiene la potestad de analizar los nuevos medios probatorios aunque el Reglamento Interior del Servicio de Administración Tributaria no se la confiera de manera expresa o la asigne a otra unidad administrativa, y sólo una imposibilidad material declarada la relevaría. En la resolución impugnada no se expresó imposibilidad alguna: la autoridad tenía el expediente de devolución, tenía las pruebas del recurso y tenía el tiempo; sencillamente no decidió.</w:t>
      </w:r>
    </w:p>
    <w:p>
      <w:pPr>
        <w:spacing w:line="360" w:lineRule="auto"/>
        <w:jc w:val="both"/>
      </w:pPr>
      <w:r>
        <w:rPr>
          <w:rFonts w:ascii="Arial" w:hAnsi="Arial"/>
          <w:b w:val="0"/>
          <w:i w:val="0"/>
          <w:sz w:val="28"/>
        </w:rPr>
        <w:t xml:space="preserve">El perjuicio, en fin, es real y actual. La parte actora aportó pruebas en la instancia que la ley le señala y sigue sin obtener un pronunciamiento sobre su derecho; el saldo a favor de </w:t>
      </w:r>
      <w:r>
        <w:rPr>
          <w:rFonts w:ascii="Arial" w:hAnsi="Arial"/>
          <w:b/>
          <w:i w:val="0"/>
          <w:sz w:val="28"/>
        </w:rPr>
        <w:t>[PERIODO DEL SALDO A FAVOR]</w:t>
      </w:r>
      <w:r>
        <w:rPr>
          <w:rFonts w:ascii="Arial" w:hAnsi="Arial"/>
          <w:b w:val="0"/>
          <w:i w:val="0"/>
          <w:sz w:val="28"/>
        </w:rPr>
        <w:t xml:space="preserve"> permanece en poder del fisco; y la actualización y los intereses de los artículos 17-A, 22 y 22-A del Código crecen con cada mes de indecisión. Una violación de procedimiento que produce ese resultado trasciende, sin duda, al sentido de la resolución impugnada y de la recurrida.</w:t>
      </w:r>
    </w:p>
    <w:p>
      <w:pPr>
        <w:spacing w:line="360" w:lineRule="auto"/>
        <w:jc w:val="both"/>
      </w:pPr>
      <w:r>
        <w:rPr>
          <w:rFonts w:ascii="Arial" w:hAnsi="Arial"/>
          <w:b w:val="0"/>
          <w:i w:val="0"/>
          <w:sz w:val="28"/>
        </w:rPr>
        <w:t>Por virtud del principio de litis abierta y del artículo 50, penúltimo párrafo, de la Ley Federal de Procedimiento Contencioso Administrativo, esta Sala puede pronunciarse sobre la legalidad de la resolución recurrida si cuenta con elementos suficientes. Los tiene: el expediente administrativo que debe exhibir la demandada contiene las pruebas del procedimiento de devolución y las del recurso, y en este juicio se ofrece prueba pericial contable sobre la integración del saldo a favor. Se pide, por ello, que la Sala asuma jurisdicción, valore esas pruebas y reconozca el derecho subjetivo a la devolución.</w:t>
      </w:r>
    </w:p>
    <w:p>
      <w:pPr>
        <w:spacing w:line="360" w:lineRule="auto"/>
        <w:jc w:val="both"/>
      </w:pPr>
      <w:r>
        <w:rPr>
          <w:rFonts w:ascii="Arial" w:hAnsi="Arial"/>
          <w:b w:val="0"/>
          <w:i w:val="0"/>
          <w:sz w:val="28"/>
        </w:rPr>
        <w:t>Para que esa pretensión no se frustre, se solicita requerir a la demandada la exhibición completa del expediente administrativo, con el apercibimiento que la propia Ley Federal de Procedimiento Contencioso Administrativo establece para la autoridad que lo exhibe incompleto. Si omite alguna documental y se presumen ciertos los hechos que con ella se pretendían probar, esa presunción es una razón adicional para resolver el fondo, no un motivo para reenviar: devolver el asunto permitiría a la autoridad allegarse después de una prueba que no trajo al juicio y usarla contra la contribuyente.</w:t>
      </w:r>
    </w:p>
    <w:p>
      <w:pPr>
        <w:spacing w:line="360" w:lineRule="auto"/>
        <w:jc w:val="both"/>
      </w:pPr>
      <w:r>
        <w:rPr>
          <w:rFonts w:ascii="Arial" w:hAnsi="Arial"/>
          <w:b/>
          <w:sz w:val="28"/>
        </w:rPr>
        <w:t>V. Conclusión y petición parcial.</w:t>
      </w:r>
    </w:p>
    <w:p>
      <w:pPr>
        <w:spacing w:line="360" w:lineRule="auto"/>
        <w:jc w:val="both"/>
      </w:pPr>
      <w:r>
        <w:rPr>
          <w:rFonts w:ascii="Arial" w:hAnsi="Arial"/>
          <w:b w:val="0"/>
          <w:i w:val="0"/>
          <w:sz w:val="28"/>
        </w:rPr>
        <w:t>En suma: el recurso de revocación es la instancia en que la parte actora podía aportar las pruebas que no exhibió en el procedimiento de devolución; las aportó; los artículos 122, fracción III, 123, fracción IV, 130, 132 y 133 del Código Fiscal de la Federación obligaban a la resolutora a valorarlas y a decidir la procedencia del saldo a favor; la resolutora tenía los elementos y no invocó imposibilidad alguna; y aun así reenvió, con una motivación que elude la cuestión, plantea un falso dilema y se contradice a sí misma.</w:t>
      </w:r>
    </w:p>
    <w:p>
      <w:pPr>
        <w:spacing w:line="360" w:lineRule="auto"/>
        <w:jc w:val="both"/>
      </w:pPr>
      <w:r>
        <w:rPr>
          <w:rFonts w:ascii="Arial" w:hAnsi="Arial"/>
          <w:b w:val="0"/>
          <w:i w:val="0"/>
          <w:sz w:val="28"/>
        </w:rPr>
        <w:t xml:space="preserve">Por lo expuesto, procede declarar fundado este concepto de impugnación por actualizarse la causal del artículo 51, fracción III, de la Ley Federal de Procedimiento Contencioso Administrativo. Como pretensión principal se solicita que esta Sala, con apoyo en el artículo 50, penúltimo párrafo, de esa ley y en la litis abierta, se pronuncie sobre la recurrida, valore todas las pruebas y reconozca el derecho subjetivo a la devolución del saldo a favor de </w:t>
      </w:r>
      <w:r>
        <w:rPr>
          <w:rFonts w:ascii="Arial" w:hAnsi="Arial"/>
          <w:b/>
          <w:i w:val="0"/>
          <w:sz w:val="28"/>
        </w:rPr>
        <w:t>[PERIODO DEL SALDO A FAVOR]</w:t>
      </w:r>
      <w:r>
        <w:rPr>
          <w:rFonts w:ascii="Arial" w:hAnsi="Arial"/>
          <w:b w:val="0"/>
          <w:i w:val="0"/>
          <w:sz w:val="28"/>
        </w:rPr>
        <w:t xml:space="preserve">, por </w:t>
      </w:r>
      <w:r>
        <w:rPr>
          <w:rFonts w:ascii="Arial" w:hAnsi="Arial"/>
          <w:b/>
          <w:i w:val="0"/>
          <w:sz w:val="28"/>
        </w:rPr>
        <w:t>[MONTO DEL SALDO A FAVOR SOLICITADO]</w:t>
      </w:r>
      <w:r>
        <w:rPr>
          <w:rFonts w:ascii="Arial" w:hAnsi="Arial"/>
          <w:b w:val="0"/>
          <w:i w:val="0"/>
          <w:sz w:val="28"/>
        </w:rPr>
        <w:t>, actualizado y con intereses conforme a los artículos 17-A, 22 y 22-A del Código.</w:t>
      </w:r>
    </w:p>
    <w:p>
      <w:pPr>
        <w:spacing w:line="360" w:lineRule="auto"/>
        <w:jc w:val="both"/>
      </w:pPr>
      <w:r>
        <w:rPr>
          <w:rFonts w:ascii="Arial" w:hAnsi="Arial"/>
          <w:b w:val="0"/>
          <w:i w:val="0"/>
          <w:sz w:val="28"/>
        </w:rPr>
        <w:t xml:space="preserve">De manera subsidiaria, y sólo si la Sala estimara carecer de elementos, se solicita la nulidad de la resolución impugnada con fundamento en el artículo 52, fracción IV, de la misma ley, para el efecto de que la </w:t>
      </w:r>
      <w:r>
        <w:rPr>
          <w:rFonts w:ascii="Arial" w:hAnsi="Arial"/>
          <w:b/>
          <w:i w:val="0"/>
          <w:sz w:val="28"/>
        </w:rPr>
        <w:t>[AUTORIDAD DEMANDADA]</w:t>
      </w:r>
      <w:r>
        <w:rPr>
          <w:rFonts w:ascii="Arial" w:hAnsi="Arial"/>
          <w:b w:val="0"/>
          <w:i w:val="0"/>
          <w:sz w:val="28"/>
        </w:rPr>
        <w:t>, y no la autoridad de origen, emita una nueva resolución en la que valore todas y cada una de las pruebas aportadas en el procedimiento de devolución y en el recurso de revocación, decida la procedencia de la devolución y, de resultar procedente, la ordene actualizada y con intereses. Se solicita el estudio preferente de este concepto por otorgar el mayor beneficio.</w:t>
      </w:r>
    </w:p>
    <w:p/>
    <w:p>
      <w:r>
        <w:rPr>
          <w:rFonts w:ascii="Arial" w:hAnsi="Arial"/>
          <w:b/>
          <w:sz w:val="22"/>
        </w:rPr>
        <w:t>NOTAS</w:t>
      </w:r>
    </w:p>
    <w:p>
      <w:pPr>
        <w:spacing w:after="60"/>
        <w:ind w:left="360" w:hanging="360"/>
        <w:jc w:val="both"/>
      </w:pPr>
      <w:r>
        <w:rPr>
          <w:rFonts w:ascii="Arial" w:hAnsi="Arial"/>
          <w:sz w:val="20"/>
          <w:vertAlign w:val="superscript"/>
        </w:rPr>
        <w:t>1</w:t>
      </w:r>
      <w:r>
        <w:rPr>
          <w:sz w:val="20"/>
        </w:rPr>
        <w:t xml:space="preserve"> </w:t>
      </w:r>
      <w:r>
        <w:rPr>
          <w:rFonts w:ascii="Arial" w:hAnsi="Arial"/>
          <w:i w:val="0"/>
          <w:sz w:val="20"/>
        </w:rPr>
        <w:t xml:space="preserve">FERRER MAC-GREGOR, Eduardo et al. (coord.), </w:t>
      </w:r>
      <w:r>
        <w:rPr>
          <w:rFonts w:ascii="Arial" w:hAnsi="Arial"/>
          <w:i/>
          <w:sz w:val="20"/>
        </w:rPr>
        <w:t>Diccionario de derecho procesal constitucional y convencional</w:t>
      </w:r>
      <w:r>
        <w:rPr>
          <w:rFonts w:ascii="Arial" w:hAnsi="Arial"/>
          <w:i w:val="0"/>
          <w:sz w:val="20"/>
        </w:rPr>
        <w:t>, 3ª ed., Querétaro, México, 2021, p. 1782.</w:t>
      </w:r>
    </w:p>
    <w:p>
      <w:pPr>
        <w:spacing w:after="60"/>
        <w:ind w:left="360" w:hanging="360"/>
        <w:jc w:val="both"/>
      </w:pPr>
      <w:r>
        <w:rPr>
          <w:rFonts w:ascii="Arial" w:hAnsi="Arial"/>
          <w:sz w:val="20"/>
          <w:vertAlign w:val="superscript"/>
        </w:rPr>
        <w:t>2</w:t>
      </w:r>
      <w:r>
        <w:rPr>
          <w:sz w:val="20"/>
        </w:rPr>
        <w:t xml:space="preserve"> </w:t>
      </w:r>
      <w:r>
        <w:rPr>
          <w:rFonts w:ascii="Arial" w:hAnsi="Arial"/>
          <w:i w:val="0"/>
          <w:sz w:val="20"/>
        </w:rPr>
        <w:t xml:space="preserve">IBARRA OLGUÍN, Ana María (ed.), </w:t>
      </w:r>
      <w:r>
        <w:rPr>
          <w:rFonts w:ascii="Arial" w:hAnsi="Arial"/>
          <w:i/>
          <w:sz w:val="20"/>
        </w:rPr>
        <w:t>Curso de derechos humanos</w:t>
      </w:r>
      <w:r>
        <w:rPr>
          <w:rFonts w:ascii="Arial" w:hAnsi="Arial"/>
          <w:i w:val="0"/>
          <w:sz w:val="20"/>
        </w:rPr>
        <w:t>, Tirant lo Blanch, México, 2022, p. 353.</w:t>
      </w:r>
    </w:p>
    <w:p>
      <w:pPr>
        <w:spacing w:after="60"/>
        <w:ind w:left="360" w:hanging="360"/>
        <w:jc w:val="both"/>
      </w:pPr>
      <w:r>
        <w:rPr>
          <w:rFonts w:ascii="Arial" w:hAnsi="Arial"/>
          <w:sz w:val="20"/>
          <w:vertAlign w:val="superscript"/>
        </w:rPr>
        <w:t>3</w:t>
      </w:r>
      <w:r>
        <w:rPr>
          <w:sz w:val="20"/>
        </w:rPr>
        <w:t xml:space="preserve"> </w:t>
      </w:r>
      <w:r>
        <w:rPr>
          <w:rFonts w:ascii="Arial" w:hAnsi="Arial"/>
          <w:i w:val="0"/>
          <w:sz w:val="20"/>
        </w:rPr>
        <w:t xml:space="preserve">FERRER MAC-GREGOR, Eduardo et al. (coord.), </w:t>
      </w:r>
      <w:r>
        <w:rPr>
          <w:rFonts w:ascii="Arial" w:hAnsi="Arial"/>
          <w:i/>
          <w:sz w:val="20"/>
        </w:rPr>
        <w:t>Diccionario de derecho procesal constitucional y convencional</w:t>
      </w:r>
      <w:r>
        <w:rPr>
          <w:rFonts w:ascii="Arial" w:hAnsi="Arial"/>
          <w:i w:val="0"/>
          <w:sz w:val="20"/>
        </w:rPr>
        <w:t>, 3ª ed., Querétaro, México, 2021, p. 661.</w:t>
      </w:r>
    </w:p>
    <w:p>
      <w:pPr>
        <w:spacing w:after="60"/>
        <w:ind w:left="360" w:hanging="360"/>
        <w:jc w:val="both"/>
      </w:pPr>
      <w:r>
        <w:rPr>
          <w:rFonts w:ascii="Arial" w:hAnsi="Arial"/>
          <w:sz w:val="20"/>
          <w:vertAlign w:val="superscript"/>
        </w:rPr>
        <w:t>4</w:t>
      </w:r>
      <w:r>
        <w:rPr>
          <w:sz w:val="20"/>
        </w:rPr>
        <w:t xml:space="preserve"> </w:t>
      </w:r>
      <w:r>
        <w:rPr>
          <w:rFonts w:ascii="Arial" w:hAnsi="Arial"/>
          <w:i w:val="0"/>
          <w:sz w:val="20"/>
        </w:rPr>
        <w:t xml:space="preserve">TRON PETIT, Jean Claude, </w:t>
      </w:r>
      <w:r>
        <w:rPr>
          <w:rFonts w:ascii="Arial" w:hAnsi="Arial"/>
          <w:i/>
          <w:sz w:val="20"/>
        </w:rPr>
        <w:t>Argumentación en el amparo. Esquema formal de los conceptos de violación y las sentencias de amparo</w:t>
      </w:r>
      <w:r>
        <w:rPr>
          <w:rFonts w:ascii="Arial" w:hAnsi="Arial"/>
          <w:i w:val="0"/>
          <w:sz w:val="20"/>
        </w:rPr>
        <w:t>, Porrúa, México, 2009, p. 180.</w:t>
      </w:r>
    </w:p>
    <w:p>
      <w:pPr>
        <w:spacing w:after="60"/>
        <w:ind w:left="360" w:hanging="360"/>
        <w:jc w:val="both"/>
      </w:pPr>
      <w:r>
        <w:rPr>
          <w:rFonts w:ascii="Arial" w:hAnsi="Arial"/>
          <w:sz w:val="20"/>
          <w:vertAlign w:val="superscript"/>
        </w:rPr>
        <w:t>5</w:t>
      </w:r>
      <w:r>
        <w:rPr>
          <w:sz w:val="20"/>
        </w:rPr>
        <w:t xml:space="preserve"> </w:t>
      </w:r>
      <w:r>
        <w:rPr>
          <w:rFonts w:ascii="Arial" w:hAnsi="Arial"/>
          <w:i w:val="0"/>
          <w:sz w:val="20"/>
        </w:rPr>
        <w:t xml:space="preserve">GARCÍA DAMBORENEA, Ricardo, </w:t>
      </w:r>
      <w:r>
        <w:rPr>
          <w:rFonts w:ascii="Arial" w:hAnsi="Arial"/>
          <w:i/>
          <w:sz w:val="20"/>
        </w:rPr>
        <w:t>Diccionario de falacias</w:t>
      </w:r>
      <w:r>
        <w:rPr>
          <w:rFonts w:ascii="Arial" w:hAnsi="Arial"/>
          <w:i w:val="0"/>
          <w:sz w:val="20"/>
        </w:rPr>
        <w:t>, s. f., p. 38.</w:t>
      </w:r>
    </w:p>
    <w:p>
      <w:pPr>
        <w:spacing w:after="60"/>
        <w:ind w:left="360" w:hanging="360"/>
        <w:jc w:val="both"/>
      </w:pPr>
      <w:r>
        <w:rPr>
          <w:rFonts w:ascii="Arial" w:hAnsi="Arial"/>
          <w:sz w:val="20"/>
          <w:vertAlign w:val="superscript"/>
        </w:rPr>
        <w:t>6</w:t>
      </w:r>
      <w:r>
        <w:rPr>
          <w:sz w:val="20"/>
        </w:rPr>
        <w:t xml:space="preserve"> </w:t>
      </w:r>
      <w:r>
        <w:rPr>
          <w:rFonts w:ascii="Arial" w:hAnsi="Arial"/>
          <w:i w:val="0"/>
          <w:sz w:val="20"/>
        </w:rPr>
        <w:t>GARCÍA DAMBORENEA, op. cit.</w:t>
      </w:r>
      <w:r>
        <w:rPr>
          <w:rFonts w:ascii="Arial" w:hAnsi="Arial"/>
          <w:i w:val="0"/>
          <w:sz w:val="20"/>
        </w:rPr>
        <w:t>, p. 33.</w:t>
      </w:r>
    </w:p>
    <w:p/>
    <w:p>
      <w:r>
        <w:rPr>
          <w:rFonts w:ascii="Arial" w:hAnsi="Arial"/>
          <w:b/>
          <w:sz w:val="22"/>
        </w:rPr>
        <w:t>BIBLIOGRAFÍA</w:t>
      </w:r>
    </w:p>
    <w:p>
      <w:pPr>
        <w:spacing w:after="60"/>
        <w:ind w:left="360" w:hanging="360"/>
        <w:jc w:val="both"/>
      </w:pPr>
      <w:r>
        <w:rPr>
          <w:rFonts w:ascii="Arial" w:hAnsi="Arial"/>
          <w:i w:val="0"/>
          <w:sz w:val="20"/>
        </w:rPr>
        <w:t xml:space="preserve">FERRER MAC-GREGOR, Eduardo et al. (coord.), </w:t>
      </w:r>
      <w:r>
        <w:rPr>
          <w:rFonts w:ascii="Arial" w:hAnsi="Arial"/>
          <w:i/>
          <w:sz w:val="20"/>
        </w:rPr>
        <w:t>Diccionario de derecho procesal constitucional y convencional</w:t>
      </w:r>
      <w:r>
        <w:rPr>
          <w:rFonts w:ascii="Arial" w:hAnsi="Arial"/>
          <w:i w:val="0"/>
          <w:sz w:val="20"/>
        </w:rPr>
        <w:t>, 3ª ed., Querétaro, México, 2021.</w:t>
      </w:r>
    </w:p>
    <w:p>
      <w:pPr>
        <w:spacing w:after="60"/>
        <w:ind w:left="360" w:hanging="360"/>
        <w:jc w:val="both"/>
      </w:pPr>
      <w:r>
        <w:rPr>
          <w:rFonts w:ascii="Arial" w:hAnsi="Arial"/>
          <w:i w:val="0"/>
          <w:sz w:val="20"/>
        </w:rPr>
        <w:t xml:space="preserve">GARCÍA DAMBORENEA, Ricardo, </w:t>
      </w:r>
      <w:r>
        <w:rPr>
          <w:rFonts w:ascii="Arial" w:hAnsi="Arial"/>
          <w:i/>
          <w:sz w:val="20"/>
        </w:rPr>
        <w:t>Diccionario de falacias</w:t>
      </w:r>
      <w:r>
        <w:rPr>
          <w:rFonts w:ascii="Arial" w:hAnsi="Arial"/>
          <w:i w:val="0"/>
          <w:sz w:val="20"/>
        </w:rPr>
        <w:t>, s. f.</w:t>
      </w:r>
    </w:p>
    <w:p>
      <w:pPr>
        <w:spacing w:after="60"/>
        <w:ind w:left="360" w:hanging="360"/>
        <w:jc w:val="both"/>
      </w:pPr>
      <w:r>
        <w:rPr>
          <w:rFonts w:ascii="Arial" w:hAnsi="Arial"/>
          <w:i w:val="0"/>
          <w:sz w:val="20"/>
        </w:rPr>
        <w:t xml:space="preserve">IBARRA OLGUÍN, Ana María (ed.), </w:t>
      </w:r>
      <w:r>
        <w:rPr>
          <w:rFonts w:ascii="Arial" w:hAnsi="Arial"/>
          <w:i/>
          <w:sz w:val="20"/>
        </w:rPr>
        <w:t>Curso de derechos humanos</w:t>
      </w:r>
      <w:r>
        <w:rPr>
          <w:rFonts w:ascii="Arial" w:hAnsi="Arial"/>
          <w:i w:val="0"/>
          <w:sz w:val="20"/>
        </w:rPr>
        <w:t>, Tirant lo Blanch, México, 2022.</w:t>
      </w:r>
    </w:p>
    <w:p>
      <w:pPr>
        <w:spacing w:after="60"/>
        <w:ind w:left="360" w:hanging="360"/>
        <w:jc w:val="both"/>
      </w:pPr>
      <w:r>
        <w:rPr>
          <w:rFonts w:ascii="Arial" w:hAnsi="Arial"/>
          <w:i w:val="0"/>
          <w:sz w:val="20"/>
        </w:rPr>
        <w:t xml:space="preserve">TRON PETIT, Jean Claude, </w:t>
      </w:r>
      <w:r>
        <w:rPr>
          <w:rFonts w:ascii="Arial" w:hAnsi="Arial"/>
          <w:i/>
          <w:sz w:val="20"/>
        </w:rPr>
        <w:t>Argumentación en el amparo. Esquema formal de los conceptos de violación y las sentencias de amparo</w:t>
      </w:r>
      <w:r>
        <w:rPr>
          <w:rFonts w:ascii="Arial" w:hAnsi="Arial"/>
          <w:i w:val="0"/>
          <w:sz w:val="20"/>
        </w:rPr>
        <w:t>, Porrúa, México, 2009.</w:t>
      </w:r>
    </w:p>
    <w:sectPr w:rsidR="00FC693F" w:rsidRPr="0006063C" w:rsidSect="00034616">
      <w:footerReference w:type="default" r:id="rId9"/>
      <w:pgSz w:w="12246" w:h="19276"/>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sz w:val="20"/>
      </w:rPr>
      <w:t xml:space="preserve">Página </w:t>
    </w:r>
    <w:r>
      <w:rPr>
        <w:rFonts w:ascii="Arial" w:hAnsi="Arial"/>
        <w:sz w:val="20"/>
      </w:rPr>
      <w:fldChar w:fldCharType="begin"/>
      <w:instrText xml:space="preserve">PAGE</w:instrText>
      <w:fldChar w:fldCharType="end"/>
    </w:r>
    <w:r>
      <w:rPr>
        <w:rFonts w:ascii="Arial" w:hAnsi="Arial"/>
        <w:sz w:val="20"/>
      </w:rPr>
      <w:t xml:space="preserve"> de </w:t>
    </w:r>
    <w:r>
      <w:rPr>
        <w:rFonts w:ascii="Arial" w:hAnsi="Arial"/>
        <w:sz w:val="20"/>
      </w:rPr>
      <w:fldChar w:fldCharType="begin"/>
      <w:instrText xml:space="preserve">NUMPAGES</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