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FALTA DE MOTIVACIÓN DEL CÁLCULO DE LA CUOTA DIARIA DE PENSIÓN DEL ISSSTE</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úsalo como uno de los conceptos de impugnación de tu demanda de nulidad. Antes de llenarlo, reúne la concesión de pensión con su constancia de notificación y la hoja única de servicios, porque de ahí salen casi todos los datos, y confirma que la resolución realmente omite el cálculo: si lo detalla, este concepto no te sirve.</w:t>
      </w:r>
    </w:p>
    <w:p>
      <w:pPr>
        <w:spacing w:line="360" w:lineRule="auto"/>
        <w:jc w:val="both"/>
      </w:pPr>
      <w:r>
        <w:rPr>
          <w:rFonts w:ascii="Arial" w:hAnsi="Arial"/>
          <w:b w:val="0"/>
          <w:i w:val="0"/>
          <w:sz w:val="24"/>
        </w:rPr>
        <w:t>Después llena los campos editables, coteja el texto vigente de los preceptos de la Ley del ISSSTE, de la ley abrogada y del Reglamento que menciona el machote, porque la sentencia que lo inspira es de enero de 2022, ajusta el párrafo del régimen si tu pensión no es del artículo décimo transitorio y suprime la nota de uso final antes de presentar.</w:t>
      </w:r>
    </w:p>
    <w:p>
      <w:pPr>
        <w:spacing w:line="360" w:lineRule="auto"/>
        <w:jc w:val="both"/>
      </w:pPr>
      <w:r>
        <w:rPr>
          <w:rFonts w:ascii="Arial" w:hAnsi="Arial"/>
          <w:b w:val="0"/>
          <w:i w:val="0"/>
          <w:sz w:val="24"/>
        </w:rPr>
        <w:t>Determina primero la vía. En la ordinaria, la demanda se presenta dentro de los treinta días siguientes a aquél en que haya surtido efectos la notificación de la resolución impugnada (artículo 13, fracción I, inciso a), de la Ley Federal de Procedimiento Contencioso Administrativo), y en la sumaria el plazo también es de treinta días (artículo 58-2, párrafo tercero). Si tu concesión es antigua, analiza con cuidado la oportunidad: en el juicio que inspira este machote la concesión era de 2008 y la demanda de 2021, y la sentencia no se ocupó de ese punto, así que no lo tomes como regla.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[FOLIO O NÚMERO DE LA CONCESIÓN DE PENSIÓN]</w:t>
      </w:r>
      <w:r>
        <w:rPr>
          <w:rFonts w:ascii="Arial" w:hAnsi="Arial"/>
          <w:b w:val="0"/>
          <w:i w:val="0"/>
          <w:sz w:val="24"/>
        </w:rPr>
        <w:t>: el folio o número que aparece en la resolución de concesión.</w:t>
      </w:r>
    </w:p>
    <w:p>
      <w:pPr>
        <w:spacing w:line="360" w:lineRule="auto"/>
        <w:jc w:val="both"/>
      </w:pPr>
      <w:r>
        <w:rPr>
          <w:rFonts w:ascii="Arial" w:hAnsi="Arial"/>
          <w:b/>
          <w:i w:val="0"/>
          <w:sz w:val="24"/>
        </w:rPr>
        <w:t>[FECHA DE LA CONCESIÓN DE PENSIÓN]</w:t>
      </w:r>
      <w:r>
        <w:rPr>
          <w:rFonts w:ascii="Arial" w:hAnsi="Arial"/>
          <w:b w:val="0"/>
          <w:i w:val="0"/>
          <w:sz w:val="24"/>
        </w:rPr>
        <w:t>: la fecha de emisión de la resolución.</w:t>
      </w:r>
    </w:p>
    <w:p>
      <w:pPr>
        <w:spacing w:line="360" w:lineRule="auto"/>
        <w:jc w:val="both"/>
      </w:pPr>
      <w:r>
        <w:rPr>
          <w:rFonts w:ascii="Arial" w:hAnsi="Arial"/>
          <w:b/>
          <w:i w:val="0"/>
          <w:sz w:val="24"/>
        </w:rPr>
        <w:t>[FECHA DE NOTIFICACIÓN DE LA CONCESIÓN DE PENSIÓN]</w:t>
      </w:r>
      <w:r>
        <w:rPr>
          <w:rFonts w:ascii="Arial" w:hAnsi="Arial"/>
          <w:b w:val="0"/>
          <w:i w:val="0"/>
          <w:sz w:val="24"/>
        </w:rPr>
        <w:t>: la fecha en que te la notificaron o en que la conociste, según tus constancias.</w:t>
      </w:r>
    </w:p>
    <w:p>
      <w:pPr>
        <w:spacing w:line="360" w:lineRule="auto"/>
        <w:jc w:val="both"/>
      </w:pPr>
      <w:r>
        <w:rPr>
          <w:rFonts w:ascii="Arial" w:hAnsi="Arial"/>
          <w:b/>
          <w:i w:val="0"/>
          <w:sz w:val="24"/>
        </w:rPr>
        <w:t>[AUTORIDAD DEMANDADA]</w:t>
      </w:r>
      <w:r>
        <w:rPr>
          <w:rFonts w:ascii="Arial" w:hAnsi="Arial"/>
          <w:b w:val="0"/>
          <w:i w:val="0"/>
          <w:sz w:val="24"/>
        </w:rPr>
        <w:t>: la unidad administrativa del ISSSTE que firmó la concesión, con su denominación completa tal como aparece en el documento.</w:t>
      </w:r>
    </w:p>
    <w:p>
      <w:pPr>
        <w:spacing w:line="360" w:lineRule="auto"/>
        <w:jc w:val="both"/>
      </w:pPr>
      <w:r>
        <w:rPr>
          <w:rFonts w:ascii="Arial" w:hAnsi="Arial"/>
          <w:b/>
          <w:i w:val="0"/>
          <w:sz w:val="24"/>
        </w:rPr>
        <w:t>[NOMBRE DE LA PARTE ACTORA]</w:t>
      </w:r>
      <w:r>
        <w:rPr>
          <w:rFonts w:ascii="Arial" w:hAnsi="Arial"/>
          <w:b w:val="0"/>
          <w:i w:val="0"/>
          <w:sz w:val="24"/>
        </w:rPr>
        <w:t>: el nombre completo de la persona pensionada.</w:t>
      </w:r>
    </w:p>
    <w:p>
      <w:pPr>
        <w:spacing w:line="360" w:lineRule="auto"/>
        <w:jc w:val="both"/>
      </w:pPr>
      <w:r>
        <w:rPr>
          <w:rFonts w:ascii="Arial" w:hAnsi="Arial"/>
          <w:b/>
          <w:i w:val="0"/>
          <w:sz w:val="24"/>
        </w:rPr>
        <w:t>[TIPO DE PENSIÓN Y RÉGIMEN APLICABLE]</w:t>
      </w:r>
      <w:r>
        <w:rPr>
          <w:rFonts w:ascii="Arial" w:hAnsi="Arial"/>
          <w:b w:val="0"/>
          <w:i w:val="0"/>
          <w:sz w:val="24"/>
        </w:rPr>
        <w:t xml:space="preserve">: por ejemplo, </w:t>
      </w:r>
      <w:r>
        <w:rPr>
          <w:rFonts w:ascii="Arial" w:hAnsi="Arial"/>
          <w:b w:val="0"/>
          <w:i/>
          <w:sz w:val="24"/>
        </w:rPr>
        <w:t>“pensión por jubilación conforme al artículo décimo transitorio de la Ley del ISSSTE”</w:t>
      </w:r>
      <w:r>
        <w:rPr>
          <w:rFonts w:ascii="Arial" w:hAnsi="Arial"/>
          <w:b w:val="0"/>
          <w:i w:val="0"/>
          <w:sz w:val="24"/>
        </w:rPr>
        <w:t>; si tu régimen es otro, ajusta también el párrafo del apartado III que lo menciona.</w:t>
      </w:r>
    </w:p>
    <w:p>
      <w:pPr>
        <w:spacing w:line="360" w:lineRule="auto"/>
        <w:jc w:val="both"/>
      </w:pPr>
      <w:r>
        <w:rPr>
          <w:rFonts w:ascii="Arial" w:hAnsi="Arial"/>
          <w:b/>
          <w:i w:val="0"/>
          <w:sz w:val="24"/>
        </w:rPr>
        <w:t>[CUOTA DIARIA FIJADA]</w:t>
      </w:r>
      <w:r>
        <w:rPr>
          <w:rFonts w:ascii="Arial" w:hAnsi="Arial"/>
          <w:b w:val="0"/>
          <w:i w:val="0"/>
          <w:sz w:val="24"/>
        </w:rPr>
        <w:t>: la cantidad exacta que fijó la resolución, con número y letra.</w:t>
      </w:r>
    </w:p>
    <w:p>
      <w:pPr>
        <w:spacing w:line="360" w:lineRule="auto"/>
        <w:jc w:val="both"/>
      </w:pPr>
      <w:r>
        <w:rPr>
          <w:rFonts w:ascii="Arial" w:hAnsi="Arial"/>
          <w:b/>
          <w:i w:val="0"/>
          <w:sz w:val="24"/>
        </w:rPr>
        <w:t>[FECHA DE INICIO DE LA PENSIÓN]</w:t>
      </w:r>
      <w:r>
        <w:rPr>
          <w:rFonts w:ascii="Arial" w:hAnsi="Arial"/>
          <w:b w:val="0"/>
          <w:i w:val="0"/>
          <w:sz w:val="24"/>
        </w:rPr>
        <w:t>: la fecha a partir de la cual la resolución ordenó pagar la cuota.</w:t>
      </w:r>
    </w:p>
    <w:p>
      <w:pPr>
        <w:spacing w:line="360" w:lineRule="auto"/>
        <w:jc w:val="both"/>
      </w:pPr>
      <w:r>
        <w:rPr>
          <w:rFonts w:ascii="Arial" w:hAnsi="Arial"/>
          <w:b/>
          <w:i w:val="0"/>
          <w:sz w:val="24"/>
        </w:rPr>
        <w:t>[TIEMPO DE COTIZACIÓN RECONOCIDO]</w:t>
      </w:r>
      <w:r>
        <w:rPr>
          <w:rFonts w:ascii="Arial" w:hAnsi="Arial"/>
          <w:b w:val="0"/>
          <w:i w:val="0"/>
          <w:sz w:val="24"/>
        </w:rPr>
        <w:t>: los años, meses y días de cotización que reconoce la resolución.</w:t>
      </w:r>
    </w:p>
    <w:p>
      <w:pPr>
        <w:spacing w:line="360" w:lineRule="auto"/>
        <w:jc w:val="both"/>
      </w:pPr>
      <w:r>
        <w:rPr>
          <w:rFonts w:ascii="Arial" w:hAnsi="Arial"/>
          <w:b/>
          <w:i w:val="0"/>
          <w:sz w:val="24"/>
        </w:rPr>
        <w:t>[DEPENDENCIA O ENTIDAD DEL ÚLTIMO EMPLEO]</w:t>
      </w:r>
      <w:r>
        <w:rPr>
          <w:rFonts w:ascii="Arial" w:hAnsi="Arial"/>
          <w:b w:val="0"/>
          <w:i w:val="0"/>
          <w:sz w:val="24"/>
        </w:rPr>
        <w:t>: la dependencia o entidad donde se prestó el último servicio y que expidió la hoja única de servicios.</w:t>
      </w:r>
    </w:p>
    <w:p>
      <w:pPr>
        <w:spacing w:line="360" w:lineRule="auto"/>
        <w:jc w:val="both"/>
      </w:pPr>
      <w:r>
        <w:rPr>
          <w:rFonts w:ascii="Arial" w:hAnsi="Arial"/>
          <w:b/>
          <w:i w:val="0"/>
          <w:sz w:val="24"/>
        </w:rPr>
        <w:t>[CONCEPTOS E IMPORTES QUE CONSTAN EN LA HOJA ÚNICA DE SERVICIOS]</w:t>
      </w:r>
      <w:r>
        <w:rPr>
          <w:rFonts w:ascii="Arial" w:hAnsi="Arial"/>
          <w:b w:val="0"/>
          <w:i w:val="0"/>
          <w:sz w:val="24"/>
        </w:rPr>
        <w:t>: los conceptos de percepción y sus cantidades que aparecen en ese documento para el último año de servicio.</w:t>
      </w:r>
    </w:p>
    <w:p>
      <w:pPr>
        <w:spacing w:line="360" w:lineRule="auto"/>
        <w:jc w:val="both"/>
      </w:pPr>
      <w:r>
        <w:rPr>
          <w:rFonts w:ascii="Arial" w:hAnsi="Arial"/>
          <w:b/>
          <w:i w:val="0"/>
          <w:sz w:val="24"/>
        </w:rPr>
        <w:t>[CUOTA DIARIA QUE LA PARTE ACTORA ESTIMA CORRECTA]</w:t>
      </w:r>
      <w:r>
        <w:rPr>
          <w:rFonts w:ascii="Arial" w:hAnsi="Arial"/>
          <w:b w:val="0"/>
          <w:i w:val="0"/>
          <w:sz w:val="24"/>
        </w:rPr>
        <w:t>: la cuota que resulta de tus cálculos con esos datos; si no puedes calcularla con certeza, elimina esa oración y conserva el resto del párrafo.</w:t>
      </w:r>
    </w:p>
    <w:p/>
    <w:p>
      <w:pPr>
        <w:spacing w:line="360" w:lineRule="auto"/>
        <w:jc w:val="both"/>
      </w:pPr>
      <w:r>
        <w:rPr>
          <w:rFonts w:ascii="Arial" w:hAnsi="Arial"/>
          <w:b/>
          <w:sz w:val="28"/>
        </w:rPr>
        <w:t>[NÚMERO ORDINAL DEL CONCEPTO] CONCEPTO DE IMPUGNACIÓN. Insuficiente fundamentación y motivación de la concesión de pensión en cuanto al cálculo de la cuota diaria. La resolución impugnada fija el monto de la pensión sin expresar el procedimiento, las operaciones ni los conceptos de percepción que la autoridad tomó en consideración para cuantificarla, lo que deja a la parte actora en estado de indefensión y actualiza la causal de ilegalidad prevista en el artículo 51, fracción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de concesión de pensión </w:t>
      </w:r>
      <w:r>
        <w:rPr>
          <w:rFonts w:ascii="Arial" w:hAnsi="Arial"/>
          <w:b/>
          <w:i w:val="0"/>
          <w:sz w:val="28"/>
        </w:rPr>
        <w:t>[FOLIO O NÚMERO DE LA CONCESIÓN DE PENSIÓN]</w:t>
      </w:r>
      <w:r>
        <w:rPr>
          <w:rFonts w:ascii="Arial" w:hAnsi="Arial"/>
          <w:b w:val="0"/>
          <w:i w:val="0"/>
          <w:sz w:val="28"/>
        </w:rPr>
        <w:t xml:space="preserve">, de </w:t>
      </w:r>
      <w:r>
        <w:rPr>
          <w:rFonts w:ascii="Arial" w:hAnsi="Arial"/>
          <w:b/>
          <w:i w:val="0"/>
          <w:sz w:val="28"/>
        </w:rPr>
        <w:t>[FECHA DE LA CONCESIÓN DE PENSIÓN]</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del Instituto de Seguridad y Servicios Sociales de los Trabajadores del Estado, por la que se otorgó a </w:t>
      </w:r>
      <w:r>
        <w:rPr>
          <w:rFonts w:ascii="Arial" w:hAnsi="Arial"/>
          <w:b/>
          <w:i w:val="0"/>
          <w:sz w:val="28"/>
        </w:rPr>
        <w:t>[NOMBRE DE LA PARTE ACTORA]</w:t>
      </w:r>
      <w:r>
        <w:rPr>
          <w:rFonts w:ascii="Arial" w:hAnsi="Arial"/>
          <w:b w:val="0"/>
          <w:i w:val="0"/>
          <w:sz w:val="28"/>
        </w:rPr>
        <w:t xml:space="preserve"> una </w:t>
      </w:r>
      <w:r>
        <w:rPr>
          <w:rFonts w:ascii="Arial" w:hAnsi="Arial"/>
          <w:b/>
          <w:i w:val="0"/>
          <w:sz w:val="28"/>
        </w:rPr>
        <w:t>[TIPO DE PENSIÓN Y RÉGIMEN APLICABLE]</w:t>
      </w:r>
      <w:r>
        <w:rPr>
          <w:rFonts w:ascii="Arial" w:hAnsi="Arial"/>
          <w:b w:val="0"/>
          <w:i w:val="0"/>
          <w:sz w:val="28"/>
        </w:rPr>
        <w:t xml:space="preserve"> con cuota diaria de </w:t>
      </w:r>
      <w:r>
        <w:rPr>
          <w:rFonts w:ascii="Arial" w:hAnsi="Arial"/>
          <w:b/>
          <w:i w:val="0"/>
          <w:sz w:val="28"/>
        </w:rPr>
        <w:t>[CUOTA DIARIA FIJADA]</w:t>
      </w:r>
      <w:r>
        <w:rPr>
          <w:rFonts w:ascii="Arial" w:hAnsi="Arial"/>
          <w:b w:val="0"/>
          <w:i w:val="0"/>
          <w:sz w:val="28"/>
        </w:rPr>
        <w:t xml:space="preserve"> a partir del </w:t>
      </w:r>
      <w:r>
        <w:rPr>
          <w:rFonts w:ascii="Arial" w:hAnsi="Arial"/>
          <w:b/>
          <w:i w:val="0"/>
          <w:sz w:val="28"/>
        </w:rPr>
        <w:t>[FECHA DE INICIO DE LA PENSIÓN]</w:t>
      </w:r>
      <w:r>
        <w:rPr>
          <w:rFonts w:ascii="Arial" w:hAnsi="Arial"/>
          <w:b w:val="0"/>
          <w:i w:val="0"/>
          <w:sz w:val="28"/>
        </w:rPr>
        <w:t>, carece de la motivación que exige el artículo 16 constitucional precisamente en la parte que más importa a su destinataria, que es la cuantificación de la pensión.</w:t>
      </w:r>
    </w:p>
    <w:p>
      <w:pPr>
        <w:spacing w:line="360" w:lineRule="auto"/>
        <w:jc w:val="both"/>
      </w:pPr>
      <w:r>
        <w:rPr>
          <w:rFonts w:ascii="Arial" w:hAnsi="Arial"/>
          <w:b w:val="0"/>
          <w:i w:val="0"/>
          <w:sz w:val="28"/>
        </w:rPr>
        <w:t>La demostración descansa en una premisa sencilla y verificable: la cuota diaria pensionaria es el resultado de un cálculo cuyas premisas fija la ley, a saber, el sueldo básico y los conceptos que lo integran, el periodo que se promedia y los años de servicio reconocidos, de modo que una resolución que sólo comunica la cifra final y el tiempo cotizado oculta todas esas premisas e impide a la persona pensionada verificar si el monto que se le asignó es correcto.</w:t>
      </w:r>
    </w:p>
    <w:p>
      <w:pPr>
        <w:spacing w:line="360" w:lineRule="auto"/>
        <w:jc w:val="both"/>
      </w:pPr>
      <w:r>
        <w:rPr>
          <w:rFonts w:ascii="Arial" w:hAnsi="Arial"/>
          <w:b w:val="0"/>
          <w:i w:val="0"/>
          <w:sz w:val="28"/>
        </w:rPr>
        <w:t>Como esa omisión afecta directamente las defensas de la parte actora y trasciende al sentido de la resolución, pues de ella depende el importe que recibirá en cada periodo de pago mientras la pensión subsista, se actualiza la causal de ilegalidad del artículo 51, fracción II, de la Ley Federal de Procedimiento Contencioso Administrativo, y procede declarar la nulidad para el efecto previsto en el artículo 52, fracción IV, del mismo ordenamiento, a fin de que la autoridad emita una nueva resolución en la que exprese de manera pormenorizada el procedimiento, las operaciones y los conceptos que sustentan la cuota.</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w:t>
      </w:r>
      <w:r>
        <w:rPr>
          <w:rFonts w:ascii="Arial" w:hAnsi="Arial"/>
          <w:b/>
          <w:i w:val="0"/>
          <w:sz w:val="28"/>
        </w:rPr>
        <w:t>[FOLIO O NÚMERO DE LA CONCESIÓN DE PENSIÓN]</w:t>
      </w:r>
      <w:r>
        <w:rPr>
          <w:rFonts w:ascii="Arial" w:hAnsi="Arial"/>
          <w:b w:val="0"/>
          <w:i w:val="0"/>
          <w:sz w:val="28"/>
        </w:rPr>
        <w:t xml:space="preserve">, de </w:t>
      </w:r>
      <w:r>
        <w:rPr>
          <w:rFonts w:ascii="Arial" w:hAnsi="Arial"/>
          <w:b/>
          <w:i w:val="0"/>
          <w:sz w:val="28"/>
        </w:rPr>
        <w:t>[FECHA DE LA CONCESIÓN DE PENSIÓN]</w:t>
      </w:r>
      <w:r>
        <w:rPr>
          <w:rFonts w:ascii="Arial" w:hAnsi="Arial"/>
          <w:b w:val="0"/>
          <w:i w:val="0"/>
          <w:sz w:val="28"/>
        </w:rPr>
        <w:t xml:space="preserve">, notificada a la parte actora el </w:t>
      </w:r>
      <w:r>
        <w:rPr>
          <w:rFonts w:ascii="Arial" w:hAnsi="Arial"/>
          <w:b/>
          <w:i w:val="0"/>
          <w:sz w:val="28"/>
        </w:rPr>
        <w:t>[FECHA DE NOTIFICACIÓN DE LA CONCESIÓN DE PENSIÓN]</w:t>
      </w:r>
      <w:r>
        <w:rPr>
          <w:rFonts w:ascii="Arial" w:hAnsi="Arial"/>
          <w:b w:val="0"/>
          <w:i w:val="0"/>
          <w:sz w:val="28"/>
        </w:rPr>
        <w:t xml:space="preserve">, en la que </w:t>
      </w:r>
      <w:r>
        <w:rPr>
          <w:rFonts w:ascii="Arial" w:hAnsi="Arial"/>
          <w:b/>
          <w:i w:val="0"/>
          <w:sz w:val="28"/>
        </w:rPr>
        <w:t>[AUTORIDAD DEMANDADA]</w:t>
      </w:r>
      <w:r>
        <w:rPr>
          <w:rFonts w:ascii="Arial" w:hAnsi="Arial"/>
          <w:b w:val="0"/>
          <w:i w:val="0"/>
          <w:sz w:val="28"/>
        </w:rPr>
        <w:t xml:space="preserve"> le reconoció el derecho a la pensión por haber prestado servicios y cotizado al Instituto durante </w:t>
      </w:r>
      <w:r>
        <w:rPr>
          <w:rFonts w:ascii="Arial" w:hAnsi="Arial"/>
          <w:b/>
          <w:i w:val="0"/>
          <w:sz w:val="28"/>
        </w:rPr>
        <w:t>[TIEMPO DE COTIZACIÓN RECONOCIDO]</w:t>
      </w:r>
      <w:r>
        <w:rPr>
          <w:rFonts w:ascii="Arial" w:hAnsi="Arial"/>
          <w:b w:val="0"/>
          <w:i w:val="0"/>
          <w:sz w:val="28"/>
        </w:rPr>
        <w:t xml:space="preserve"> y fijó la cuota diaria en </w:t>
      </w:r>
      <w:r>
        <w:rPr>
          <w:rFonts w:ascii="Arial" w:hAnsi="Arial"/>
          <w:b/>
          <w:i w:val="0"/>
          <w:sz w:val="28"/>
        </w:rPr>
        <w:t>[CUOTA DIARIA FIJADA]</w:t>
      </w:r>
      <w:r>
        <w:rPr>
          <w:rFonts w:ascii="Arial" w:hAnsi="Arial"/>
          <w:b w:val="0"/>
          <w:i w:val="0"/>
          <w:sz w:val="28"/>
        </w:rPr>
        <w:t>, sin expresar de qué percepciones, de qué periodo ni de qué operaciones resulta esa cantidad.</w:t>
      </w:r>
    </w:p>
    <w:p>
      <w:pPr>
        <w:spacing w:line="360" w:lineRule="auto"/>
        <w:jc w:val="both"/>
      </w:pPr>
      <w:r>
        <w:rPr>
          <w:rFonts w:ascii="Arial" w:hAnsi="Arial"/>
          <w:b w:val="0"/>
          <w:i w:val="0"/>
          <w:sz w:val="28"/>
        </w:rPr>
        <w:t xml:space="preserve">Las normas cuya inobservancia se plantea son el artículo 16, primer párrafo, de la Constitución Política de los Estados Unidos Mexicanos, que exige que los actos de autoridad que inciden en la esfera jurídica de las personas consten en un </w:t>
      </w:r>
      <w:r>
        <w:rPr>
          <w:rFonts w:ascii="Arial" w:hAnsi="Arial"/>
          <w:b w:val="0"/>
          <w:i/>
          <w:sz w:val="28"/>
        </w:rPr>
        <w:t>“mandamiento escrito de la autoridad competente, que funde y motive la causa legal del procedimiento”</w:t>
      </w:r>
      <w:r>
        <w:rPr>
          <w:rFonts w:ascii="Arial" w:hAnsi="Arial"/>
          <w:b w:val="0"/>
          <w:i w:val="0"/>
          <w:sz w:val="28"/>
        </w:rPr>
        <w:t>, y los preceptos de la legislación del Instituto que definen las premisas del cálculo, cuyo contenido se expone en el apartado siguiente y que la resolución debió aplicar de manera explícita.</w:t>
      </w:r>
    </w:p>
    <w:p>
      <w:pPr>
        <w:spacing w:line="360" w:lineRule="auto"/>
        <w:jc w:val="both"/>
      </w:pPr>
      <w:r>
        <w:rPr>
          <w:rFonts w:ascii="Arial" w:hAnsi="Arial"/>
          <w:b w:val="0"/>
          <w:i w:val="0"/>
          <w:sz w:val="28"/>
        </w:rPr>
        <w:t>El perjuicio es directo y continuo, porque la jubilación forma parte de las bases mínimas de la seguridad social de las personas trabajadoras al servicio del Estado, conforme al artículo 123, apartado B, fracción XI, inciso a), constitucional, y la cuota diaria determina el ingreso que la parte actora percibirá mientras la pensión subsista; ignorar cómo se calculó equivale a no poder defender el contenido económico del derecho que la propia autoridad le reconoció.</w:t>
      </w:r>
    </w:p>
    <w:p>
      <w:pPr>
        <w:spacing w:line="360" w:lineRule="auto"/>
        <w:jc w:val="both"/>
      </w:pPr>
      <w:r>
        <w:rPr>
          <w:rFonts w:ascii="Arial" w:hAnsi="Arial"/>
          <w:b w:val="0"/>
          <w:i w:val="0"/>
          <w:sz w:val="28"/>
        </w:rPr>
        <w:t>De prosperar este concepto, la parte actora obtendrá una nueva resolución en la que la autoridad deberá transparentar cada premisa del cálculo, lo que le permitirá controvertir con conocimiento de causa cualquier concepto omitido o mal cuantificado. Como lo ha reconocido la Sala en casos análogos, el planteamiento puede prosperar aun cuando todavía no se acredite qué conceptos adicionales debían integrar el sueldo básico, porque lo que se examina es la ausencia de razones en la resolución, cuestión previa al acierto de la cifra.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La garantía de fundamentación y motivación tiene una dimensión formal que la doctrina distingue de la material: la primera exige que en la constancia documental del acto se expresen las normas, razones y motivos que lo sustentan, para que la persona afectada conozca la causa legal de la decisión, mientras que la segunda atañe a la corrección de esas razones y a si conducen efectivamente a la consecuencia adoptada.</w:t>
      </w:r>
      <w:r>
        <w:rPr>
          <w:rFonts w:ascii="Arial" w:hAnsi="Arial"/>
          <w:vertAlign w:val="superscript"/>
        </w:rPr>
        <w:t>1</w:t>
      </w:r>
    </w:p>
    <w:p>
      <w:pPr>
        <w:spacing w:line="360" w:lineRule="auto"/>
        <w:jc w:val="both"/>
      </w:pPr>
      <w:r>
        <w:rPr>
          <w:rFonts w:ascii="Arial" w:hAnsi="Arial"/>
          <w:b w:val="0"/>
          <w:i w:val="0"/>
          <w:sz w:val="28"/>
        </w:rPr>
        <w:t>La distinción tiene una consecuencia práctica, porque la corrección material de un acto sólo puede examinarse cuando éste ha cumplido antes con la exigencia formal; si la autoridad no expresa sus razones, la persona afectada queda reducida a conjeturar cuáles fueron y el órgano jurisdiccional carece de materia para contrastarlas con la ley.</w:t>
      </w:r>
    </w:p>
    <w:p>
      <w:pPr>
        <w:spacing w:line="360" w:lineRule="auto"/>
        <w:jc w:val="both"/>
      </w:pPr>
      <w:r>
        <w:rPr>
          <w:rFonts w:ascii="Arial" w:hAnsi="Arial"/>
          <w:b w:val="0"/>
          <w:i w:val="0"/>
          <w:sz w:val="28"/>
        </w:rPr>
        <w:t>Motivar, en sentido técnico, significa exponer razones, entendidas como los enunciados que se alegan públicamente para justificar una decisión y que funcionan como las premisas de un razonamiento, categoría que la teoría de la argumentación separa de los estados psicológicos que pudieron inducir a quien decide.</w:t>
      </w:r>
      <w:r>
        <w:rPr>
          <w:rFonts w:ascii="Arial" w:hAnsi="Arial"/>
          <w:vertAlign w:val="superscript"/>
        </w:rPr>
        <w:t>2</w:t>
      </w:r>
    </w:p>
    <w:p>
      <w:pPr>
        <w:spacing w:line="360" w:lineRule="auto"/>
        <w:jc w:val="both"/>
      </w:pPr>
      <w:r>
        <w:rPr>
          <w:rFonts w:ascii="Arial" w:hAnsi="Arial"/>
          <w:b w:val="0"/>
          <w:i w:val="0"/>
          <w:sz w:val="28"/>
        </w:rPr>
        <w:t>Desde esa perspectiva, una resolución que determina una cantidad está motivada cuando exhibe el razonamiento que conduce a ella, y en la cuantificación de una pensión ese razonamiento adopta la forma de un cálculo cuyas premisas no quedan a la libre elección de la autoridad, porque la legislación de seguridad social las define de antemano.</w:t>
      </w:r>
    </w:p>
    <w:p>
      <w:pPr>
        <w:spacing w:line="360" w:lineRule="auto"/>
        <w:jc w:val="both"/>
      </w:pPr>
      <w:r>
        <w:rPr>
          <w:rFonts w:ascii="Arial" w:hAnsi="Arial"/>
          <w:b w:val="0"/>
          <w:i w:val="0"/>
          <w:sz w:val="28"/>
        </w:rPr>
        <w:t>Como lo ha reconocido la Sala en casos análogos, tratándose de una pensión del régimen del artículo décimo transitorio de la Ley del Instituto de Seguridad y Servicios Sociales de los Trabajadores del Estado, el cálculo se rige por los artículos 17 y décimo transitorio de esa Ley, en relación con los artículos 15 y 64 de la ley abrogada y 23 del Reglamento de Prestaciones Económicas y Vivienda del propio Instituto.</w:t>
      </w:r>
    </w:p>
    <w:p>
      <w:pPr>
        <w:spacing w:line="360" w:lineRule="auto"/>
        <w:jc w:val="both"/>
      </w:pPr>
      <w:r>
        <w:rPr>
          <w:rFonts w:ascii="Arial" w:hAnsi="Arial"/>
          <w:b w:val="0"/>
          <w:i w:val="0"/>
          <w:sz w:val="28"/>
        </w:rPr>
        <w:t xml:space="preserve">El artículo 17 de la Ley vigente dispone que el sueldo básico </w:t>
      </w:r>
      <w:r>
        <w:rPr>
          <w:rFonts w:ascii="Arial" w:hAnsi="Arial"/>
          <w:b w:val="0"/>
          <w:i/>
          <w:sz w:val="28"/>
        </w:rPr>
        <w:t>“será el sueldo del tabulador regional que para cada puesto se haya señalado”</w:t>
      </w:r>
      <w:r>
        <w:rPr>
          <w:rFonts w:ascii="Arial" w:hAnsi="Arial"/>
          <w:b w:val="0"/>
          <w:i w:val="0"/>
          <w:sz w:val="28"/>
        </w:rPr>
        <w:t>, sueldo que, leído sistemáticamente con el artículo 15 de la ley abrogada, se integra con el sueldo, el sobresueldo y la compensación; a su vez, el artículo trigésimo quinto transitorio de la Ley vigente impide que ese cálculo arroje una cantidad menor al sueldo básico previsto en la ley abrogada.</w:t>
      </w:r>
    </w:p>
    <w:p>
      <w:pPr>
        <w:spacing w:line="360" w:lineRule="auto"/>
        <w:jc w:val="both"/>
      </w:pPr>
      <w:r>
        <w:rPr>
          <w:rFonts w:ascii="Arial" w:hAnsi="Arial"/>
          <w:b w:val="0"/>
          <w:i w:val="0"/>
          <w:sz w:val="28"/>
        </w:rPr>
        <w:t xml:space="preserve">El artículo 64 de la ley abrogada ordenaba tomar en cuenta, para calcular la pensión, </w:t>
      </w:r>
      <w:r>
        <w:rPr>
          <w:rFonts w:ascii="Arial" w:hAnsi="Arial"/>
          <w:b w:val="0"/>
          <w:i/>
          <w:sz w:val="28"/>
        </w:rPr>
        <w:t>“el promedio del sueldo básico disfrutado en el último año inmediato anterior a la fecha de la baja del trabajador”</w:t>
      </w:r>
      <w:r>
        <w:rPr>
          <w:rFonts w:ascii="Arial" w:hAnsi="Arial"/>
          <w:b w:val="0"/>
          <w:i w:val="0"/>
          <w:sz w:val="28"/>
        </w:rPr>
        <w:t xml:space="preserve">, y el artículo 23 del Reglamento precisa que para calcular la cuota diaria pensionaria </w:t>
      </w:r>
      <w:r>
        <w:rPr>
          <w:rFonts w:ascii="Arial" w:hAnsi="Arial"/>
          <w:b w:val="0"/>
          <w:i/>
          <w:sz w:val="28"/>
        </w:rPr>
        <w:t>“se tomarán como base los datos asentados en la hoja única de servicios”</w:t>
      </w:r>
      <w:r>
        <w:rPr>
          <w:rFonts w:ascii="Arial" w:hAnsi="Arial"/>
          <w:b w:val="0"/>
          <w:i w:val="0"/>
          <w:sz w:val="28"/>
        </w:rPr>
        <w:t>, documento que debe contener, en su caso, las cantidades por sueldo, sobresueldo, compensación, quinquenios y prima de antigüedad, así como los años de servicio.</w:t>
      </w:r>
    </w:p>
    <w:p>
      <w:pPr>
        <w:spacing w:line="360" w:lineRule="auto"/>
        <w:jc w:val="both"/>
      </w:pPr>
      <w:r>
        <w:rPr>
          <w:rFonts w:ascii="Arial" w:hAnsi="Arial"/>
          <w:b w:val="0"/>
          <w:i w:val="0"/>
          <w:sz w:val="28"/>
        </w:rPr>
        <w:t>El conjunto de esas disposiciones dibuja con precisión el contenido mínimo de la motivación exigible, porque la resolución debe identificar el puesto y el sueldo tabular considerados, los conceptos de percepción que integran el sueldo básico con sus importes, el periodo cuyo promedio se calcula, los años de servicio reconocidos y la operación aritmética que, aplicada a esos datos conforme al régimen aplicable, arroja la cuota diaria.</w:t>
      </w:r>
    </w:p>
    <w:p>
      <w:pPr>
        <w:spacing w:line="360" w:lineRule="auto"/>
        <w:jc w:val="both"/>
      </w:pPr>
      <w:r>
        <w:rPr>
          <w:rFonts w:ascii="Arial" w:hAnsi="Arial"/>
          <w:b w:val="0"/>
          <w:i w:val="0"/>
          <w:sz w:val="28"/>
        </w:rPr>
        <w:t>La teoría de la argumentación ofrece el nombre técnico de esa exigencia: la justificación interna de una decisión obliga a hacer explícitas todas las premisas necesarias para arribar a la conclusión, precisamente para impedir que se introduzcan de manera subrepticia presupuestos que de otro modo permanecerían ocultos.</w:t>
      </w:r>
      <w:r>
        <w:rPr>
          <w:rFonts w:ascii="Arial" w:hAnsi="Arial"/>
          <w:vertAlign w:val="superscript"/>
        </w:rPr>
        <w:t>3</w:t>
      </w:r>
    </w:p>
    <w:p>
      <w:pPr>
        <w:spacing w:line="360" w:lineRule="auto"/>
        <w:jc w:val="both"/>
      </w:pPr>
      <w:r>
        <w:rPr>
          <w:rFonts w:ascii="Arial" w:hAnsi="Arial"/>
          <w:b w:val="0"/>
          <w:i w:val="0"/>
          <w:sz w:val="28"/>
        </w:rPr>
        <w:t>Una cuota diaria enunciada sin sus premisas incurre exactamente en ese defecto, pues el sueldo considerado, los conceptos incluidos o excluidos y el periodo promediado quedan escondidos detrás de la cifra, y con ellos cualquier error, omisión o exceso en que la autoridad pudo incurrir al calcularla.</w:t>
      </w:r>
    </w:p>
    <w:p>
      <w:pPr>
        <w:spacing w:line="360" w:lineRule="auto"/>
        <w:jc w:val="both"/>
      </w:pPr>
      <w:r>
        <w:rPr>
          <w:rFonts w:ascii="Arial" w:hAnsi="Arial"/>
          <w:b w:val="0"/>
          <w:i w:val="0"/>
          <w:sz w:val="28"/>
        </w:rPr>
        <w:t xml:space="preserve">El artículo 51, fracción II, de la Ley Federal de Procedimiento Contencioso Administrativo declara ilegal la resolución en que se demuestre la </w:t>
      </w:r>
      <w:r>
        <w:rPr>
          <w:rFonts w:ascii="Arial" w:hAnsi="Arial"/>
          <w:b w:val="0"/>
          <w:i/>
          <w:sz w:val="28"/>
        </w:rPr>
        <w:t>“Omisión de los requisitos formales exigidos por las leyes, siempre que afecte las defensas de la persona particular y trascienda al sentido de la resolución impugnada, inclusive la ausencia de fundamentación o motivación, en su caso”</w:t>
      </w:r>
      <w:r>
        <w:rPr>
          <w:rFonts w:ascii="Arial" w:hAnsi="Arial"/>
          <w:b w:val="0"/>
          <w:i w:val="0"/>
          <w:sz w:val="28"/>
        </w:rPr>
        <w:t>, y el artículo 50, segundo párrafo, obliga a la sentencia que anule por esa causa a señalar en qué forma el vicio afectó las defensas y trascendió al sentido de la resolución.</w:t>
      </w:r>
    </w:p>
    <w:p>
      <w:pPr>
        <w:spacing w:line="360" w:lineRule="auto"/>
        <w:jc w:val="both"/>
      </w:pPr>
      <w:r>
        <w:rPr>
          <w:rFonts w:ascii="Arial" w:hAnsi="Arial"/>
          <w:b w:val="0"/>
          <w:i w:val="0"/>
          <w:sz w:val="28"/>
        </w:rPr>
        <w:t>La doctrina advierte que en el juicio contencioso administrativo la autoridad puede defender el acto sosteniendo que el defecto de motivación es una ilegalidad no invalidante, por no haber causado perjuicio, y que en ese escenario la afectación material a la defensa y la trascendencia del vicio operan como presupuestos necesarios que la parte actora debe acreditar para que su pretensión de nulidad resulte eficaz.</w:t>
      </w:r>
      <w:r>
        <w:rPr>
          <w:rFonts w:ascii="Arial" w:hAnsi="Arial"/>
          <w:vertAlign w:val="superscript"/>
        </w:rPr>
        <w:t>4</w:t>
      </w:r>
    </w:p>
    <w:p>
      <w:pPr>
        <w:spacing w:line="360" w:lineRule="auto"/>
        <w:jc w:val="both"/>
      </w:pPr>
      <w:r>
        <w:rPr>
          <w:rFonts w:ascii="Arial" w:hAnsi="Arial"/>
          <w:b w:val="0"/>
          <w:i w:val="0"/>
          <w:sz w:val="28"/>
        </w:rPr>
        <w:t>Por esa razón, el presente concepto no se limita a denunciar la ausencia de razones, y en el apartado siguiente demuestra en qué consiste la afectación concreta a las defensas de la parte actora y por qué el vicio trasciende al monto de la pensión.</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La resolución impugnada se limita a señalar que la parte actora prestó servicios y cotizó al Instituto durante </w:t>
      </w:r>
      <w:r>
        <w:rPr>
          <w:rFonts w:ascii="Arial" w:hAnsi="Arial"/>
          <w:b/>
          <w:i w:val="0"/>
          <w:sz w:val="28"/>
        </w:rPr>
        <w:t>[TIEMPO DE COTIZACIÓN RECONOCIDO]</w:t>
      </w:r>
      <w:r>
        <w:rPr>
          <w:rFonts w:ascii="Arial" w:hAnsi="Arial"/>
          <w:b w:val="0"/>
          <w:i w:val="0"/>
          <w:sz w:val="28"/>
        </w:rPr>
        <w:t xml:space="preserve"> y que la cuota diaria de su pensión se fija en </w:t>
      </w:r>
      <w:r>
        <w:rPr>
          <w:rFonts w:ascii="Arial" w:hAnsi="Arial"/>
          <w:b/>
          <w:i w:val="0"/>
          <w:sz w:val="28"/>
        </w:rPr>
        <w:t>[CUOTA DIARIA FIJADA]</w:t>
      </w:r>
      <w:r>
        <w:rPr>
          <w:rFonts w:ascii="Arial" w:hAnsi="Arial"/>
          <w:b w:val="0"/>
          <w:i w:val="0"/>
          <w:sz w:val="28"/>
        </w:rPr>
        <w:t xml:space="preserve"> a partir del </w:t>
      </w:r>
      <w:r>
        <w:rPr>
          <w:rFonts w:ascii="Arial" w:hAnsi="Arial"/>
          <w:b/>
          <w:i w:val="0"/>
          <w:sz w:val="28"/>
        </w:rPr>
        <w:t>[FECHA DE INICIO DE LA PENSIÓN]</w:t>
      </w:r>
      <w:r>
        <w:rPr>
          <w:rFonts w:ascii="Arial" w:hAnsi="Arial"/>
          <w:b w:val="0"/>
          <w:i w:val="0"/>
          <w:sz w:val="28"/>
        </w:rPr>
        <w:t xml:space="preserve">, sin identificar en ningún pasaje el sueldo tabular del último puesto desempeñado en </w:t>
      </w:r>
      <w:r>
        <w:rPr>
          <w:rFonts w:ascii="Arial" w:hAnsi="Arial"/>
          <w:b/>
          <w:i w:val="0"/>
          <w:sz w:val="28"/>
        </w:rPr>
        <w:t>[DEPENDENCIA O ENTIDAD DEL ÚLTIMO EMPLEO]</w:t>
      </w:r>
      <w:r>
        <w:rPr>
          <w:rFonts w:ascii="Arial" w:hAnsi="Arial"/>
          <w:b w:val="0"/>
          <w:i w:val="0"/>
          <w:sz w:val="28"/>
        </w:rPr>
        <w:t>, los conceptos de percepción que integró en el sueldo básico con sus importes, el periodo cuyo promedio calculó ni la operación que la llevó a esa cantidad.</w:t>
      </w:r>
    </w:p>
    <w:p>
      <w:pPr>
        <w:spacing w:line="360" w:lineRule="auto"/>
        <w:jc w:val="both"/>
      </w:pPr>
      <w:r>
        <w:rPr>
          <w:rFonts w:ascii="Arial" w:hAnsi="Arial"/>
          <w:b w:val="0"/>
          <w:i w:val="0"/>
          <w:sz w:val="28"/>
        </w:rPr>
        <w:t xml:space="preserve">Para los efectos del artículo 19 de la Ley Federal de Procedimiento Contencioso Administrativo, conforme al cual, si no se produce la contestación en tiempo y forma o ésta no se refiere a todos los hechos, se tendrán como ciertos los que la persona actora impute de manera precisa a la persona demandada, salvo que resulten desvirtuados por las pruebas rendidas o por hechos notorios, se imputa a </w:t>
      </w:r>
      <w:r>
        <w:rPr>
          <w:rFonts w:ascii="Arial" w:hAnsi="Arial"/>
          <w:b/>
          <w:i w:val="0"/>
          <w:sz w:val="28"/>
        </w:rPr>
        <w:t>[AUTORIDAD DEMANDADA]</w:t>
      </w:r>
      <w:r>
        <w:rPr>
          <w:rFonts w:ascii="Arial" w:hAnsi="Arial"/>
          <w:b w:val="0"/>
          <w:i w:val="0"/>
          <w:sz w:val="28"/>
        </w:rPr>
        <w:t xml:space="preserve"> el hecho concreto de haber fijado la cuota diaria sin expresar el sueldo básico, los conceptos, los importes, el periodo ni las operaciones que tomó en consideración.</w:t>
      </w:r>
    </w:p>
    <w:p>
      <w:pPr>
        <w:spacing w:line="360" w:lineRule="auto"/>
        <w:jc w:val="both"/>
      </w:pPr>
      <w:r>
        <w:rPr>
          <w:rFonts w:ascii="Arial" w:hAnsi="Arial"/>
          <w:b w:val="0"/>
          <w:i w:val="0"/>
          <w:sz w:val="28"/>
        </w:rPr>
        <w:t>La omisión afecta las defensas de la parte actora de manera concreta, porque sin conocer qué percepciones se incluyeron no puede saber si la autoridad consideró las cantidades por sueldo, sobresueldo, compensación, quinquenios y prima de antigüedad que constan en su hoja única de servicios, ni si promedió el periodo correcto, de manera que cualquier impugnación sobre el monto quedaría reducida a una conjetura que la autoridad podría desestimar por genérica.</w:t>
      </w:r>
    </w:p>
    <w:p>
      <w:pPr>
        <w:spacing w:line="360" w:lineRule="auto"/>
        <w:jc w:val="both"/>
      </w:pPr>
      <w:r>
        <w:rPr>
          <w:rFonts w:ascii="Arial" w:hAnsi="Arial"/>
          <w:b w:val="0"/>
          <w:i w:val="0"/>
          <w:sz w:val="28"/>
        </w:rPr>
        <w:t>El vicio trasciende, además, al sentido de la resolución, porque la cuota diaria es el producto aritmético de esas premisas y cualquier variación en el sueldo considerado, en los conceptos integrados o en el periodo promediado altera el importe de la pensión.</w:t>
      </w:r>
    </w:p>
    <w:p>
      <w:pPr>
        <w:spacing w:line="360" w:lineRule="auto"/>
        <w:jc w:val="both"/>
      </w:pPr>
      <w:r>
        <w:rPr>
          <w:rFonts w:ascii="Arial" w:hAnsi="Arial"/>
          <w:b w:val="0"/>
          <w:i w:val="0"/>
          <w:sz w:val="28"/>
        </w:rPr>
        <w:t xml:space="preserve">En el caso, la hoja única de servicios expedida por </w:t>
      </w:r>
      <w:r>
        <w:rPr>
          <w:rFonts w:ascii="Arial" w:hAnsi="Arial"/>
          <w:b/>
          <w:i w:val="0"/>
          <w:sz w:val="28"/>
        </w:rPr>
        <w:t>[DEPENDENCIA O ENTIDAD DEL ÚLTIMO EMPLEO]</w:t>
      </w:r>
      <w:r>
        <w:rPr>
          <w:rFonts w:ascii="Arial" w:hAnsi="Arial"/>
          <w:b w:val="0"/>
          <w:i w:val="0"/>
          <w:sz w:val="28"/>
        </w:rPr>
        <w:t xml:space="preserve"> consigna </w:t>
      </w:r>
      <w:r>
        <w:rPr>
          <w:rFonts w:ascii="Arial" w:hAnsi="Arial"/>
          <w:b/>
          <w:i w:val="0"/>
          <w:sz w:val="28"/>
        </w:rPr>
        <w:t>[CONCEPTOS E IMPORTES QUE CONSTAN EN LA HOJA ÚNICA DE SERVICIOS]</w:t>
      </w:r>
      <w:r>
        <w:rPr>
          <w:rFonts w:ascii="Arial" w:hAnsi="Arial"/>
          <w:b w:val="0"/>
          <w:i w:val="0"/>
          <w:sz w:val="28"/>
        </w:rPr>
        <w:t xml:space="preserve">, y conforme a esas cantidades la cuota diaria debió ascender a </w:t>
      </w:r>
      <w:r>
        <w:rPr>
          <w:rFonts w:ascii="Arial" w:hAnsi="Arial"/>
          <w:b/>
          <w:i w:val="0"/>
          <w:sz w:val="28"/>
        </w:rPr>
        <w:t>[CUOTA DIARIA QUE LA PARTE ACTORA ESTIMA CORRECTA]</w:t>
      </w:r>
      <w:r>
        <w:rPr>
          <w:rFonts w:ascii="Arial" w:hAnsi="Arial"/>
          <w:b w:val="0"/>
          <w:i w:val="0"/>
          <w:sz w:val="28"/>
        </w:rPr>
        <w:t>, cifra que difiere de la fijada sin que la resolución permita saber de dónde proviene la diferencia.</w:t>
      </w:r>
    </w:p>
    <w:p>
      <w:pPr>
        <w:spacing w:line="360" w:lineRule="auto"/>
        <w:jc w:val="both"/>
      </w:pPr>
      <w:r>
        <w:rPr>
          <w:rFonts w:ascii="Arial" w:hAnsi="Arial"/>
          <w:b w:val="0"/>
          <w:i w:val="0"/>
          <w:sz w:val="28"/>
        </w:rPr>
        <w:t>La motivación de la resolución, reducida a la enunciación de la cifra, incurre en la falacia que Bentham llamó ipsedixitismo, que consiste en sostener una afirmación sin más respaldo que el énfasis con que se enuncia y que la doctrina de la argumentación agrupa entre las falacias de elusión de la carga de la prueba.</w:t>
      </w:r>
      <w:r>
        <w:rPr>
          <w:rFonts w:ascii="Arial" w:hAnsi="Arial"/>
          <w:vertAlign w:val="superscript"/>
        </w:rPr>
        <w:t>5</w:t>
      </w:r>
    </w:p>
    <w:p>
      <w:pPr>
        <w:spacing w:line="360" w:lineRule="auto"/>
        <w:jc w:val="both"/>
      </w:pPr>
      <w:r>
        <w:rPr>
          <w:rFonts w:ascii="Arial" w:hAnsi="Arial"/>
          <w:b w:val="0"/>
          <w:i w:val="0"/>
          <w:sz w:val="28"/>
        </w:rPr>
        <w:t xml:space="preserve">La autoridad afirma que la cuota es </w:t>
      </w:r>
      <w:r>
        <w:rPr>
          <w:rFonts w:ascii="Arial" w:hAnsi="Arial"/>
          <w:b/>
          <w:i w:val="0"/>
          <w:sz w:val="28"/>
        </w:rPr>
        <w:t>[CUOTA DIARIA FIJADA]</w:t>
      </w:r>
      <w:r>
        <w:rPr>
          <w:rFonts w:ascii="Arial" w:hAnsi="Arial"/>
          <w:b w:val="0"/>
          <w:i w:val="0"/>
          <w:sz w:val="28"/>
        </w:rPr>
        <w:t xml:space="preserve"> y ofrece como única razón su propia afirmación, con lo que traslada a la persona pensionada la carga de reconstruir un cálculo cuyas premisas sólo conoce quien lo realizó, carga que el artículo 16 constitucional coloca del lado de la autoridad al exigir que la motivación conste en el mandamiento escrito.</w:t>
      </w:r>
    </w:p>
    <w:p>
      <w:pPr>
        <w:spacing w:line="360" w:lineRule="auto"/>
        <w:jc w:val="both"/>
      </w:pPr>
      <w:r>
        <w:rPr>
          <w:rFonts w:ascii="Arial" w:hAnsi="Arial"/>
          <w:b w:val="0"/>
          <w:i w:val="0"/>
          <w:sz w:val="28"/>
        </w:rPr>
        <w:t>Tampoco podría sostenerse la legalidad de la resolución con el argumento de que la cuota se calculó conforme a la ley o con base en la hoja única de servicios, porque esa defensa incurre en petición de principio, vicio que consiste en dar por demostrado, mediante la propia afirmación, aquello mismo que es preciso demostrar.</w:t>
      </w:r>
      <w:r>
        <w:rPr>
          <w:rFonts w:ascii="Arial" w:hAnsi="Arial"/>
          <w:vertAlign w:val="superscript"/>
        </w:rPr>
        <w:t>6</w:t>
      </w:r>
    </w:p>
    <w:p>
      <w:pPr>
        <w:spacing w:line="360" w:lineRule="auto"/>
        <w:jc w:val="both"/>
      </w:pPr>
      <w:r>
        <w:rPr>
          <w:rFonts w:ascii="Arial" w:hAnsi="Arial"/>
          <w:b w:val="0"/>
          <w:i w:val="0"/>
          <w:sz w:val="28"/>
        </w:rPr>
        <w:t>Lo que está en discusión es, justamente, si el cálculo se ajustó a la ley, y esa pregunta sólo puede responderse con las premisas que la resolución omitió; afirmar que la cuota es correcta porque se calculó correctamente convierte la conclusión en su propio fundamento y deja intacta la omisión que aquí se reclama.</w:t>
      </w:r>
    </w:p>
    <w:p>
      <w:pPr>
        <w:spacing w:line="360" w:lineRule="auto"/>
        <w:jc w:val="both"/>
      </w:pPr>
      <w:r>
        <w:rPr>
          <w:rFonts w:ascii="Arial" w:hAnsi="Arial"/>
          <w:b w:val="0"/>
          <w:i w:val="0"/>
          <w:sz w:val="28"/>
        </w:rPr>
        <w:t>Igualmente ineficaz sería alegar que la omisión no perjudica a la parte actora porque conoce su propio salario, pues conocer las percepciones que se recibieron en activo no equivale a conocer cuáles de ellas tomó la autoridad, con qué importes y sobre qué periodo, y es esa información, que sólo la autoridad puede proporcionar respecto de su propio cálculo, la que la parte actora necesita para verificar el monto y, en su caso, controvertirlo.</w:t>
      </w:r>
    </w:p>
    <w:p>
      <w:pPr>
        <w:spacing w:line="360" w:lineRule="auto"/>
        <w:jc w:val="both"/>
      </w:pPr>
      <w:r>
        <w:rPr>
          <w:rFonts w:ascii="Arial" w:hAnsi="Arial"/>
          <w:b w:val="0"/>
          <w:i w:val="0"/>
          <w:sz w:val="28"/>
        </w:rPr>
        <w:t>Por último, si al contestar la demanda la autoridad pretende explicar el cálculo o exhibir las operaciones que omitió, esa explicación tardía no subsana el vicio, porque el artículo 16 constitucional exige que la motivación conste en el propio mandamiento escrito.</w:t>
      </w:r>
    </w:p>
    <w:p>
      <w:pPr>
        <w:spacing w:line="360" w:lineRule="auto"/>
        <w:jc w:val="both"/>
      </w:pPr>
      <w:r>
        <w:rPr>
          <w:rFonts w:ascii="Arial" w:hAnsi="Arial"/>
          <w:b w:val="0"/>
          <w:i w:val="0"/>
          <w:sz w:val="28"/>
        </w:rPr>
        <w:t xml:space="preserve">A ello se suma que el artículo 22 de la Ley Federal de Procedimiento Contencioso Administrativo dispone que </w:t>
      </w:r>
      <w:r>
        <w:rPr>
          <w:rFonts w:ascii="Arial" w:hAnsi="Arial"/>
          <w:b w:val="0"/>
          <w:i/>
          <w:sz w:val="28"/>
        </w:rPr>
        <w:t>“En la contestación de la demanda no podrán cambiarse los fundamentos de derecho de la resolución impugnada”</w:t>
      </w:r>
      <w:r>
        <w:rPr>
          <w:rFonts w:ascii="Arial" w:hAnsi="Arial"/>
          <w:b w:val="0"/>
          <w:i w:val="0"/>
          <w:sz w:val="28"/>
        </w:rPr>
        <w:t>, regla que confirma que la legalidad del acto se juzga a partir de lo que éste expresó al emitirse, sin que las razones agregadas en el juicio puedan integrarlo.</w:t>
      </w:r>
    </w:p>
    <w:p>
      <w:pPr>
        <w:spacing w:line="360" w:lineRule="auto"/>
        <w:jc w:val="both"/>
      </w:pPr>
      <w:r>
        <w:rPr>
          <w:rFonts w:ascii="Arial" w:hAnsi="Arial"/>
          <w:b w:val="0"/>
          <w:i w:val="0"/>
          <w:sz w:val="28"/>
        </w:rPr>
        <w:t>Como lo ha reconocido la Sala en casos análogos, cuando la concesión se limita a señalar la cuota diaria y el tiempo cotizado, sin indicar el procedimiento y las operaciones seguidos ni los conceptos considerados, el desconocimiento de esos elementos genera incertidumbre jurídica sobre el cálculo y deja a la persona pensionada en estado de indefensión, lo que actualiza la causal de ilegalidad del artículo 51, fracción II.</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resolución impugnada fijó la cuota diaria de la pensión de la parte actora sin expresar el sueldo básico, los conceptos de percepción y sus importes, el periodo promediado ni las operaciones que la sustentan; esa omisión le impide verificar y controvertir el monto de su pensión y trasciende al sentido de la resolución, porque la cuota es el resultado directo de las premisas que se ocultaron.</w:t>
      </w:r>
    </w:p>
    <w:p>
      <w:pPr>
        <w:spacing w:line="360" w:lineRule="auto"/>
        <w:jc w:val="both"/>
      </w:pPr>
      <w:r>
        <w:rPr>
          <w:rFonts w:ascii="Arial" w:hAnsi="Arial"/>
          <w:b w:val="0"/>
          <w:i w:val="0"/>
          <w:sz w:val="28"/>
        </w:rPr>
        <w:t>Por lo expuesto, procede declarar fundado el presente concepto de impugnación y, con fundamento en los artículos 51, fracción II, y 52, fracción IV, de la Ley Federal de Procedimiento Contencioso Administrativo, declarar la nulidad de la resolución impugnada para el efecto de que la autoridad demandada emita una nueva, debidamente fundada y motivada, en la que exprese de manera pormenorizada el procedimiento y las operaciones que siguió para calcular la cuota diaria de pensión, así como los conceptos de percepción y los importes que tomó en consideración.</w:t>
      </w:r>
    </w:p>
    <w:p>
      <w:pPr>
        <w:spacing w:line="360" w:lineRule="auto"/>
        <w:jc w:val="both"/>
      </w:pPr>
      <w:r>
        <w:rPr>
          <w:rFonts w:ascii="Arial" w:hAnsi="Arial"/>
          <w:b w:val="0"/>
          <w:i w:val="0"/>
          <w:sz w:val="28"/>
        </w:rPr>
        <w:t>Se solicita, además, que en la nueva resolución se precisen el sueldo tabular del último puesto, el periodo cuyo promedio se calcula y los años de servicio reconocidos, a fin de que la parte actora quede en aptitud de ejercer, respecto del monto de su pensión, los medios de defensa que procedan.</w:t>
      </w:r>
    </w:p>
    <w:p>
      <w:pPr>
        <w:spacing w:line="360" w:lineRule="auto"/>
        <w:jc w:val="both"/>
      </w:pPr>
      <w:r>
        <w:rPr>
          <w:rFonts w:ascii="Arial" w:hAnsi="Arial"/>
          <w:b/>
          <w:sz w:val="28"/>
        </w:rPr>
        <w:t>Nota de uso, que debe suprimirse antes de presentar la demanda.</w:t>
      </w:r>
    </w:p>
    <w:p>
      <w:pPr>
        <w:spacing w:line="360" w:lineRule="auto"/>
        <w:jc w:val="both"/>
      </w:pPr>
      <w:r>
        <w:rPr>
          <w:rFonts w:ascii="Arial" w:hAnsi="Arial"/>
          <w:b w:val="0"/>
          <w:i w:val="0"/>
          <w:sz w:val="28"/>
        </w:rPr>
        <w:t>Este concepto se construyó a partir de una sentencia dictada el 20 de enero de 2022 por la Sala Especializada en Juicios en Línea del Tribunal Federal de Justicia Administrativa, que declaró la nulidad para efectos de una concesión de pensión por este mismo vicio. Los preceptos de la Ley del Instituto, de la ley abrogada y del Reglamento que ahí se aplicaron pudieron reformarse o sustituirse después, por lo que antes de presentar la demanda debe cotejarse su texto vigente y ajustarse la cita de cada uno.</w:t>
      </w:r>
    </w:p>
    <w:p>
      <w:pPr>
        <w:spacing w:line="360" w:lineRule="auto"/>
        <w:jc w:val="both"/>
      </w:pPr>
      <w:r>
        <w:rPr>
          <w:rFonts w:ascii="Arial" w:hAnsi="Arial"/>
          <w:b w:val="0"/>
          <w:i w:val="0"/>
          <w:sz w:val="28"/>
        </w:rPr>
        <w:t>Los artículos 19, 22, 50, 51 y 52 de la Ley Federal de Procedimiento Contencioso Administrativo se transcriben y parafrasean conforme a su texto vigente, con la última reforma publicada en el Diario Oficial de la Federación el 9 de junio de 2026, texto que en algunos de ellos difiere en su redacción del que la Sala aplicó en 2022.</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233.</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FERNÁNDEZ RUIZ, Graciela, </w:t>
      </w:r>
      <w:r>
        <w:rPr>
          <w:rFonts w:ascii="Arial" w:hAnsi="Arial"/>
          <w:i/>
          <w:sz w:val="20"/>
        </w:rPr>
        <w:t>Argumentación y lenguaje jurídico. Aplicación al análisis de una sentencia de la Suprema Corte de Justicia de la Nación</w:t>
      </w:r>
      <w:r>
        <w:rPr>
          <w:rFonts w:ascii="Arial" w:hAnsi="Arial"/>
          <w:i w:val="0"/>
          <w:sz w:val="20"/>
        </w:rPr>
        <w:t>, 2ª ed., Universidad Nacional Autónoma de México, Instituto de Investigaciones Jurídicas, México, 2017, p. 111.</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71.</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73.</w:t>
      </w:r>
    </w:p>
    <w:p/>
    <w:p>
      <w:r>
        <w:rPr>
          <w:rFonts w:ascii="Arial" w:hAnsi="Arial"/>
          <w:b/>
          <w:sz w:val="22"/>
        </w:rPr>
        <w:t>BIBLIOGRAFÍA</w:t>
      </w:r>
    </w:p>
    <w:p>
      <w:pPr>
        <w:spacing w:after="60"/>
        <w:ind w:left="360" w:hanging="360"/>
        <w:jc w:val="both"/>
      </w:pPr>
      <w:r>
        <w:rPr>
          <w:rFonts w:ascii="Arial" w:hAnsi="Arial"/>
          <w:i w:val="0"/>
          <w:sz w:val="20"/>
        </w:rPr>
        <w:t xml:space="preserve">FERNÁNDEZ RUIZ, Graciela, </w:t>
      </w:r>
      <w:r>
        <w:rPr>
          <w:rFonts w:ascii="Arial" w:hAnsi="Arial"/>
          <w:i/>
          <w:sz w:val="20"/>
        </w:rPr>
        <w:t>Argumentación y lenguaje jurídico. Aplicación al análisis de una sentencia de la Suprema Corte de Justicia de la Nación</w:t>
      </w:r>
      <w:r>
        <w:rPr>
          <w:rFonts w:ascii="Arial" w:hAnsi="Arial"/>
          <w:i w:val="0"/>
          <w:sz w:val="20"/>
        </w:rPr>
        <w:t>, 2ª ed., Universidad Nacional Autónoma de México, Instituto de Investigaciones Jurídicas, México, 2017.</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