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FALTA DE MOTIVACIÓN DE LA CUOTA DE PENSIÓN DEL ISSSTE</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úsalo como un concepto de impugnación dentro de tu demanda de nulidad contra la concesión de pensión del ISSSTE. Primero reúne tres documentos: la concesión de pensión con su cuadro de cálculo, la hoja única de servicios y los comprobantes de pago del último año anterior a la baja.</w:t>
      </w:r>
    </w:p>
    <w:p>
      <w:pPr>
        <w:spacing w:line="360" w:lineRule="auto"/>
        <w:jc w:val="both"/>
      </w:pPr>
      <w:r>
        <w:rPr>
          <w:rFonts w:ascii="Arial" w:hAnsi="Arial"/>
          <w:b w:val="0"/>
          <w:i w:val="0"/>
          <w:sz w:val="24"/>
        </w:rPr>
        <w:t>Antes de redactar, determina la vía conforme a la Ley Federal de Procedimiento Contencioso Administrativo vigente; el asunto que inspira este machote se tramitó en la vía ordinaria, en línea. En la vía ordinaria la demanda se presenta dentro de los treinta días del artículo 13, fracción I; en la sumaria el plazo también es de treinta días (artículo 58-2, párrafo tercero).</w:t>
      </w:r>
    </w:p>
    <w:p>
      <w:pPr>
        <w:spacing w:line="360" w:lineRule="auto"/>
        <w:jc w:val="both"/>
      </w:pPr>
      <w:r>
        <w:rPr>
          <w:rFonts w:ascii="Arial" w:hAnsi="Arial"/>
          <w:b w:val="0"/>
          <w:i w:val="0"/>
          <w:sz w:val="24"/>
        </w:rPr>
        <w:t>Suprime la nota previa antes de presentar la demanda, pero atiéndela: la sentencia de referencia es de 2022, así que coteja el texto vigente de la Ley del ISSSTE, de sus reglamentos y del manual de percepciones, y el que regía en la fecha de la baja. Si la pensión no se rige por el artículo décimo transitorio, ajusta el apartado III. Ajusta también la descripción del cuadro de cifras del apartado IV a lo que contenga tu resolución.</w:t>
      </w:r>
    </w:p>
    <w:p>
      <w:pPr>
        <w:spacing w:line="360" w:lineRule="auto"/>
        <w:jc w:val="both"/>
      </w:pPr>
      <w:r>
        <w:rPr>
          <w:rFonts w:ascii="Arial" w:hAnsi="Arial"/>
          <w:b w:val="0"/>
          <w:i w:val="0"/>
          <w:sz w:val="24"/>
        </w:rPr>
        <w:t>Si además quieres pedir que se sumen a la cuota percepciones que no aparecen en la base de cálculo, plantéalo en un concepto separado y ofrece prueba de que sobre ellas se descontaron cuotas y aportaciones al Instituto; los simples recibos de nómina no bastaron en el asunto de referencia.</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[FOLIO Y NÚMERO DE DOCUMENTO DE LA CONCESIÓN]</w:t>
      </w:r>
      <w:r>
        <w:rPr>
          <w:rFonts w:ascii="Arial" w:hAnsi="Arial"/>
          <w:b w:val="0"/>
          <w:i w:val="0"/>
          <w:sz w:val="24"/>
        </w:rPr>
        <w:t>: los identificadores que trae la concesión de pensión, tal como aparecen en el documento.</w:t>
      </w:r>
    </w:p>
    <w:p>
      <w:pPr>
        <w:spacing w:line="360" w:lineRule="auto"/>
        <w:jc w:val="both"/>
      </w:pPr>
      <w:r>
        <w:rPr>
          <w:rFonts w:ascii="Arial" w:hAnsi="Arial"/>
          <w:b/>
          <w:i w:val="0"/>
          <w:sz w:val="24"/>
        </w:rPr>
        <w:t>[FECHA DE LA CONCESIÓN DE PENSIÓN]</w:t>
      </w:r>
      <w:r>
        <w:rPr>
          <w:rFonts w:ascii="Arial" w:hAnsi="Arial"/>
          <w:b w:val="0"/>
          <w:i w:val="0"/>
          <w:sz w:val="24"/>
        </w:rPr>
        <w:t>: la fecha de emisión de la resolución impugnada.</w:t>
      </w:r>
    </w:p>
    <w:p>
      <w:pPr>
        <w:spacing w:line="360" w:lineRule="auto"/>
        <w:jc w:val="both"/>
      </w:pPr>
      <w:r>
        <w:rPr>
          <w:rFonts w:ascii="Arial" w:hAnsi="Arial"/>
          <w:b/>
          <w:i w:val="0"/>
          <w:sz w:val="24"/>
        </w:rPr>
        <w:t>[AUTORIDAD DEMANDADA]</w:t>
      </w:r>
      <w:r>
        <w:rPr>
          <w:rFonts w:ascii="Arial" w:hAnsi="Arial"/>
          <w:b w:val="0"/>
          <w:i w:val="0"/>
          <w:sz w:val="24"/>
        </w:rPr>
        <w:t>: la unidad del ISSSTE que emitió la concesión, con su denominación completa (por ejemplo, la delegación o la oficina de representación que la firma).</w:t>
      </w:r>
    </w:p>
    <w:p>
      <w:pPr>
        <w:spacing w:line="360" w:lineRule="auto"/>
        <w:jc w:val="both"/>
      </w:pPr>
      <w:r>
        <w:rPr>
          <w:rFonts w:ascii="Arial" w:hAnsi="Arial"/>
          <w:b/>
          <w:i w:val="0"/>
          <w:sz w:val="24"/>
        </w:rPr>
        <w:t>[NOMBRE DE LA PARTE ACTORA]</w:t>
      </w:r>
      <w:r>
        <w:rPr>
          <w:rFonts w:ascii="Arial" w:hAnsi="Arial"/>
          <w:b w:val="0"/>
          <w:i w:val="0"/>
          <w:sz w:val="24"/>
        </w:rPr>
        <w:t>: el nombre de la persona pensionada.</w:t>
      </w:r>
    </w:p>
    <w:p>
      <w:pPr>
        <w:spacing w:line="360" w:lineRule="auto"/>
        <w:jc w:val="both"/>
      </w:pPr>
      <w:r>
        <w:rPr>
          <w:rFonts w:ascii="Arial" w:hAnsi="Arial"/>
          <w:b/>
          <w:i w:val="0"/>
          <w:sz w:val="24"/>
        </w:rPr>
        <w:t>[CUOTA DIARIA ASIGNADA]</w:t>
      </w:r>
      <w:r>
        <w:rPr>
          <w:rFonts w:ascii="Arial" w:hAnsi="Arial"/>
          <w:b w:val="0"/>
          <w:i w:val="0"/>
          <w:sz w:val="24"/>
        </w:rPr>
        <w:t>: la cuota diaria que fijó la concesión, con número y letra.</w:t>
      </w:r>
    </w:p>
    <w:p>
      <w:pPr>
        <w:spacing w:line="360" w:lineRule="auto"/>
        <w:jc w:val="both"/>
      </w:pPr>
      <w:r>
        <w:rPr>
          <w:rFonts w:ascii="Arial" w:hAnsi="Arial"/>
          <w:b/>
          <w:i w:val="0"/>
          <w:sz w:val="24"/>
        </w:rPr>
        <w:t>[FECHA DE INICIO DE LA PENSIÓN]</w:t>
      </w:r>
      <w:r>
        <w:rPr>
          <w:rFonts w:ascii="Arial" w:hAnsi="Arial"/>
          <w:b w:val="0"/>
          <w:i w:val="0"/>
          <w:sz w:val="24"/>
        </w:rPr>
        <w:t>: la fecha a partir de la cual corre la pensión según la concesión.</w:t>
      </w:r>
    </w:p>
    <w:p>
      <w:pPr>
        <w:spacing w:line="360" w:lineRule="auto"/>
        <w:jc w:val="both"/>
      </w:pPr>
      <w:r>
        <w:rPr>
          <w:rFonts w:ascii="Arial" w:hAnsi="Arial"/>
          <w:b/>
          <w:i w:val="0"/>
          <w:sz w:val="24"/>
        </w:rPr>
        <w:t>[FECHA DE NOTIFICACIÓN DE LA CONCESIÓN]</w:t>
      </w:r>
      <w:r>
        <w:rPr>
          <w:rFonts w:ascii="Arial" w:hAnsi="Arial"/>
          <w:b w:val="0"/>
          <w:i w:val="0"/>
          <w:sz w:val="24"/>
        </w:rPr>
        <w:t>: la fecha en que se notificó o se entregó la concesión a la parte actora.</w:t>
      </w:r>
    </w:p>
    <w:p>
      <w:pPr>
        <w:spacing w:line="360" w:lineRule="auto"/>
        <w:jc w:val="both"/>
      </w:pPr>
      <w:r>
        <w:rPr>
          <w:rFonts w:ascii="Arial" w:hAnsi="Arial"/>
          <w:b/>
          <w:i w:val="0"/>
          <w:sz w:val="24"/>
        </w:rPr>
        <w:t>[DEPENDENCIA O ENTIDAD DONDE LABORÓ LA PARTE ACTORA]</w:t>
      </w:r>
      <w:r>
        <w:rPr>
          <w:rFonts w:ascii="Arial" w:hAnsi="Arial"/>
          <w:b w:val="0"/>
          <w:i w:val="0"/>
          <w:sz w:val="24"/>
        </w:rPr>
        <w:t>: la dependencia o entidad que expidió la hoja única de servicios (si fueron varias, menciónalas).</w:t>
      </w:r>
    </w:p>
    <w:p>
      <w:pPr>
        <w:spacing w:line="360" w:lineRule="auto"/>
        <w:jc w:val="both"/>
      </w:pPr>
      <w:r>
        <w:rPr>
          <w:rFonts w:ascii="Arial" w:hAnsi="Arial"/>
          <w:b/>
          <w:i w:val="0"/>
          <w:sz w:val="24"/>
        </w:rPr>
        <w:t>[FECHA DE BAJA DEL SERVICIO]</w:t>
      </w:r>
      <w:r>
        <w:rPr>
          <w:rFonts w:ascii="Arial" w:hAnsi="Arial"/>
          <w:b w:val="0"/>
          <w:i w:val="0"/>
          <w:sz w:val="24"/>
        </w:rPr>
        <w:t>: la fecha de baja que consta en la hoja única de servicios o en el aviso de baja.</w:t>
      </w:r>
    </w:p>
    <w:p>
      <w:pPr>
        <w:spacing w:line="360" w:lineRule="auto"/>
        <w:jc w:val="both"/>
      </w:pPr>
      <w:r>
        <w:rPr>
          <w:rFonts w:ascii="Arial" w:hAnsi="Arial"/>
          <w:b/>
          <w:i w:val="0"/>
          <w:sz w:val="24"/>
        </w:rPr>
        <w:t>[TRANSCRIPCIÓN DE LA MOTIVACIÓN DEL CÁLCULO QUE CONTIENE LA CONCESIÓN]</w:t>
      </w:r>
      <w:r>
        <w:rPr>
          <w:rFonts w:ascii="Arial" w:hAnsi="Arial"/>
          <w:b w:val="0"/>
          <w:i w:val="0"/>
          <w:sz w:val="24"/>
        </w:rPr>
        <w:t>: copia literal del texto con que la concesión explica el cálculo (la remisión al tabulador regional, a lo cotizado por la dependencia o a la base de datos del Instituto).</w:t>
      </w:r>
    </w:p>
    <w:p>
      <w:pPr>
        <w:spacing w:line="360" w:lineRule="auto"/>
        <w:jc w:val="both"/>
      </w:pPr>
      <w:r>
        <w:rPr>
          <w:rFonts w:ascii="Arial" w:hAnsi="Arial"/>
          <w:b/>
          <w:i w:val="0"/>
          <w:sz w:val="24"/>
        </w:rPr>
        <w:t>[RUBROS DE LA HOJA ÚNICA DE SERVICIOS]</w:t>
      </w:r>
      <w:r>
        <w:rPr>
          <w:rFonts w:ascii="Arial" w:hAnsi="Arial"/>
          <w:b w:val="0"/>
          <w:i w:val="0"/>
          <w:sz w:val="24"/>
        </w:rPr>
        <w:t>: los rubros tal como aparecen en la hoja única, por ejemplo sueldo cotizable, quinquenios y el rubro genérico de otras percepciones sujetas a cotización.</w:t>
      </w:r>
    </w:p>
    <w:p>
      <w:pPr>
        <w:spacing w:line="360" w:lineRule="auto"/>
        <w:jc w:val="both"/>
      </w:pPr>
      <w:r>
        <w:rPr>
          <w:rFonts w:ascii="Arial" w:hAnsi="Arial"/>
          <w:b/>
          <w:i w:val="0"/>
          <w:sz w:val="24"/>
        </w:rPr>
        <w:t>[PERCEPCIONES QUE LA PARTE ACTORA RECIBÍA EN ACTIVO]</w:t>
      </w:r>
      <w:r>
        <w:rPr>
          <w:rFonts w:ascii="Arial" w:hAnsi="Arial"/>
          <w:b w:val="0"/>
          <w:i w:val="0"/>
          <w:sz w:val="24"/>
        </w:rPr>
        <w:t>: las percepciones que muestran los comprobantes de pago del último año de servicio, con su clave o denominación.</w:t>
      </w:r>
    </w:p>
    <w:p/>
    <w:p>
      <w:pPr>
        <w:spacing w:line="360" w:lineRule="auto"/>
        <w:jc w:val="both"/>
      </w:pPr>
      <w:r>
        <w:rPr>
          <w:rFonts w:ascii="Arial" w:hAnsi="Arial"/>
          <w:b/>
          <w:sz w:val="28"/>
        </w:rPr>
        <w:t>Nota previa para quien use este machote (suprímase antes de presentar la demanda).</w:t>
      </w:r>
    </w:p>
    <w:p>
      <w:pPr>
        <w:spacing w:line="360" w:lineRule="auto"/>
        <w:jc w:val="both"/>
      </w:pPr>
      <w:r>
        <w:rPr>
          <w:rFonts w:ascii="Arial" w:hAnsi="Arial"/>
          <w:b w:val="0"/>
          <w:i w:val="0"/>
          <w:sz w:val="28"/>
        </w:rPr>
        <w:t>El criterio que inspira este concepto de impugnación proviene de la sentencia que la Sala Especializada en Juicios en Línea del Tribunal Federal de Justicia Administrativa dictó el veintinueve de abril de dos mil veintidós. Los preceptos de la Ley del Instituto de Seguridad y Servicios Sociales de los Trabajadores del Estado, de sus reglamentos, de la Ley Federal de los Trabajadores al Servicio del Estado y del Manual de Percepciones que aquí se invocan son los que esa Sala aplicó entonces y pudieron reformarse después.</w:t>
      </w:r>
    </w:p>
    <w:p>
      <w:pPr>
        <w:spacing w:line="360" w:lineRule="auto"/>
        <w:jc w:val="both"/>
      </w:pPr>
      <w:r>
        <w:rPr>
          <w:rFonts w:ascii="Arial" w:hAnsi="Arial"/>
          <w:b w:val="0"/>
          <w:i w:val="0"/>
          <w:sz w:val="28"/>
        </w:rPr>
        <w:t>Antes de presentar la demanda, coteja el texto vigente de esos preceptos y el que regía en la fecha de la baja de la parte actora. La Constitución y la Ley Federal de Procedimiento Contencioso Administrativo se citan conforme a su texto vigente, con la última reforma de esta publicada en el Diario Oficial de la Federación el 9 de junio de 2026.</w:t>
      </w:r>
    </w:p>
    <w:p>
      <w:pPr>
        <w:spacing w:line="360" w:lineRule="auto"/>
        <w:jc w:val="both"/>
      </w:pPr>
      <w:r>
        <w:rPr>
          <w:rFonts w:ascii="Arial" w:hAnsi="Arial"/>
          <w:b/>
          <w:sz w:val="28"/>
        </w:rPr>
        <w:t>[NÚMERO ORDINAL DEL CONCEPTO] CONCEPTO DE IMPUGNACIÓN. Falta de fundamentación y motivación de la concesión de pensión por jubilación. La resolución impugnada fija la cuota diaria sin precisar qué percepciones integraron el sueldo básico, cuál fue el tabulador regional y el sueldo tabular aplicados, qué manual de percepciones regía en el último año de servicio ni qué descuentos se consideraron por sueldo, prima de antigüedad o quinquenios, con lo que se actualiza la causal de nulidad del artículo 51, fracción II,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concesión de pensión por jubilación </w:t>
      </w:r>
      <w:r>
        <w:rPr>
          <w:rFonts w:ascii="Arial" w:hAnsi="Arial"/>
          <w:b/>
          <w:i w:val="0"/>
          <w:sz w:val="28"/>
        </w:rPr>
        <w:t>[FOLIO Y NÚMERO DE DOCUMENTO DE LA CONCESIÓN]</w:t>
      </w:r>
      <w:r>
        <w:rPr>
          <w:rFonts w:ascii="Arial" w:hAnsi="Arial"/>
          <w:b w:val="0"/>
          <w:i w:val="0"/>
          <w:sz w:val="28"/>
        </w:rPr>
        <w:t xml:space="preserve">, de fecha </w:t>
      </w:r>
      <w:r>
        <w:rPr>
          <w:rFonts w:ascii="Arial" w:hAnsi="Arial"/>
          <w:b/>
          <w:i w:val="0"/>
          <w:sz w:val="28"/>
        </w:rPr>
        <w:t>[FECHA DE LA CONCESIÓN DE PENSIÓN]</w:t>
      </w:r>
      <w:r>
        <w:rPr>
          <w:rFonts w:ascii="Arial" w:hAnsi="Arial"/>
          <w:b w:val="0"/>
          <w:i w:val="0"/>
          <w:sz w:val="28"/>
        </w:rPr>
        <w:t xml:space="preserve">, emitida por </w:t>
      </w:r>
      <w:r>
        <w:rPr>
          <w:rFonts w:ascii="Arial" w:hAnsi="Arial"/>
          <w:b/>
          <w:i w:val="0"/>
          <w:sz w:val="28"/>
        </w:rPr>
        <w:t>[AUTORIDAD DEMANDADA]</w:t>
      </w:r>
      <w:r>
        <w:rPr>
          <w:rFonts w:ascii="Arial" w:hAnsi="Arial"/>
          <w:b w:val="0"/>
          <w:i w:val="0"/>
          <w:sz w:val="28"/>
        </w:rPr>
        <w:t xml:space="preserve">, que fijó a </w:t>
      </w:r>
      <w:r>
        <w:rPr>
          <w:rFonts w:ascii="Arial" w:hAnsi="Arial"/>
          <w:b/>
          <w:i w:val="0"/>
          <w:sz w:val="28"/>
        </w:rPr>
        <w:t>[NOMBRE DE LA PARTE ACTORA]</w:t>
      </w:r>
      <w:r>
        <w:rPr>
          <w:rFonts w:ascii="Arial" w:hAnsi="Arial"/>
          <w:b w:val="0"/>
          <w:i w:val="0"/>
          <w:sz w:val="28"/>
        </w:rPr>
        <w:t xml:space="preserve"> una cuota diaria de </w:t>
      </w:r>
      <w:r>
        <w:rPr>
          <w:rFonts w:ascii="Arial" w:hAnsi="Arial"/>
          <w:b/>
          <w:i w:val="0"/>
          <w:sz w:val="28"/>
        </w:rPr>
        <w:t>[CUOTA DIARIA ASIGNADA]</w:t>
      </w:r>
      <w:r>
        <w:rPr>
          <w:rFonts w:ascii="Arial" w:hAnsi="Arial"/>
          <w:b w:val="0"/>
          <w:i w:val="0"/>
          <w:sz w:val="28"/>
        </w:rPr>
        <w:t xml:space="preserve"> a partir del </w:t>
      </w:r>
      <w:r>
        <w:rPr>
          <w:rFonts w:ascii="Arial" w:hAnsi="Arial"/>
          <w:b/>
          <w:i w:val="0"/>
          <w:sz w:val="28"/>
        </w:rPr>
        <w:t>[FECHA DE INICIO DE LA PENSIÓN]</w:t>
      </w:r>
      <w:r>
        <w:rPr>
          <w:rFonts w:ascii="Arial" w:hAnsi="Arial"/>
          <w:b w:val="0"/>
          <w:i w:val="0"/>
          <w:sz w:val="28"/>
        </w:rPr>
        <w:t>, carece de la fundamentación y motivación que exige el artículo 16, primer párrafo, de la Constitución Política de los Estados Unidos Mexicanos, porque no expresa los elementos con los que se calculó esa cuota.</w:t>
      </w:r>
    </w:p>
    <w:p>
      <w:pPr>
        <w:spacing w:line="360" w:lineRule="auto"/>
        <w:jc w:val="both"/>
      </w:pPr>
      <w:r>
        <w:rPr>
          <w:rFonts w:ascii="Arial" w:hAnsi="Arial"/>
          <w:b w:val="0"/>
          <w:i w:val="0"/>
          <w:sz w:val="28"/>
        </w:rPr>
        <w:t>La demostración descansa en una premisa que se verifica con la sola lectura del documento: la cuota diaria pensionaria es la conclusión de una cadena de determinaciones previas, como el puesto y su tabulador regional, el sueldo tabular del último año de servicio, las percepciones que la dependencia reportó como sujetas a cotización, los quinquenios o la prima de antigüedad y el promedio resultante, y la resolución impugnada muestra la conclusión mientras omite sus premisas.</w:t>
      </w:r>
    </w:p>
    <w:p>
      <w:pPr>
        <w:spacing w:line="360" w:lineRule="auto"/>
        <w:jc w:val="both"/>
      </w:pPr>
      <w:r>
        <w:rPr>
          <w:rFonts w:ascii="Arial" w:hAnsi="Arial"/>
          <w:b w:val="0"/>
          <w:i w:val="0"/>
          <w:sz w:val="28"/>
        </w:rPr>
        <w:t>El concepto deja para otro apartado la discusión sobre qué percepciones debieron integrarse a la base del cálculo y se concentra en una exigencia anterior y autónoma: que la autoridad diga cuáles integró y con qué sustento. Esa omisión afecta las defensas de la parte actora y trasciende al sentido de la resolución, por lo que procede declarar la nulidad en términos de los artículos 51, fracción II, y 52, fracción IV, de la Ley Federal de Procedimiento Contencioso Administrativo.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concesión de pensión por jubilación identificada en el apartado anterior, notificada a la parte actora el </w:t>
      </w:r>
      <w:r>
        <w:rPr>
          <w:rFonts w:ascii="Arial" w:hAnsi="Arial"/>
          <w:b/>
          <w:i w:val="0"/>
          <w:sz w:val="28"/>
        </w:rPr>
        <w:t>[FECHA DE NOTIFICACIÓN DE LA CONCESIÓN]</w:t>
      </w:r>
      <w:r>
        <w:rPr>
          <w:rFonts w:ascii="Arial" w:hAnsi="Arial"/>
          <w:b w:val="0"/>
          <w:i w:val="0"/>
          <w:sz w:val="28"/>
        </w:rPr>
        <w:t xml:space="preserve">, con la que </w:t>
      </w:r>
      <w:r>
        <w:rPr>
          <w:rFonts w:ascii="Arial" w:hAnsi="Arial"/>
          <w:b/>
          <w:i w:val="0"/>
          <w:sz w:val="28"/>
        </w:rPr>
        <w:t>[AUTORIDAD DEMANDADA]</w:t>
      </w:r>
      <w:r>
        <w:rPr>
          <w:rFonts w:ascii="Arial" w:hAnsi="Arial"/>
          <w:b w:val="0"/>
          <w:i w:val="0"/>
          <w:sz w:val="28"/>
        </w:rPr>
        <w:t xml:space="preserve"> reconoció el derecho a la pensión y cuantificó su monto a partir de los servicios que la parte actora prestó en </w:t>
      </w:r>
      <w:r>
        <w:rPr>
          <w:rFonts w:ascii="Arial" w:hAnsi="Arial"/>
          <w:b/>
          <w:i w:val="0"/>
          <w:sz w:val="28"/>
        </w:rPr>
        <w:t>[DEPENDENCIA O ENTIDAD DONDE LABORÓ LA PARTE ACTORA]</w:t>
      </w:r>
      <w:r>
        <w:rPr>
          <w:rFonts w:ascii="Arial" w:hAnsi="Arial"/>
          <w:b w:val="0"/>
          <w:i w:val="0"/>
          <w:sz w:val="28"/>
        </w:rPr>
        <w:t xml:space="preserve"> hasta su baja, ocurrida el </w:t>
      </w:r>
      <w:r>
        <w:rPr>
          <w:rFonts w:ascii="Arial" w:hAnsi="Arial"/>
          <w:b/>
          <w:i w:val="0"/>
          <w:sz w:val="28"/>
        </w:rPr>
        <w:t>[FECHA DE BAJA DEL SERVICIO]</w:t>
      </w:r>
      <w:r>
        <w:rPr>
          <w:rFonts w:ascii="Arial" w:hAnsi="Arial"/>
          <w:b w:val="0"/>
          <w:i w:val="0"/>
          <w:sz w:val="28"/>
        </w:rPr>
        <w:t>.</w:t>
      </w:r>
    </w:p>
    <w:p>
      <w:pPr>
        <w:spacing w:line="360" w:lineRule="auto"/>
        <w:jc w:val="both"/>
      </w:pPr>
      <w:r>
        <w:rPr>
          <w:rFonts w:ascii="Arial" w:hAnsi="Arial"/>
          <w:b w:val="0"/>
          <w:i w:val="0"/>
          <w:sz w:val="28"/>
        </w:rPr>
        <w:t xml:space="preserve">Las normas cuya inobservancia se plantea son el artículo 16, primer párrafo, constitucional, que condiciona todo acto de molestia a un mandamiento escrito de la autoridad competente </w:t>
      </w:r>
      <w:r>
        <w:rPr>
          <w:rFonts w:ascii="Arial" w:hAnsi="Arial"/>
          <w:b w:val="0"/>
          <w:i/>
          <w:sz w:val="28"/>
        </w:rPr>
        <w:t>“que funde y motive la causa legal del procedimiento”</w:t>
      </w:r>
      <w:r>
        <w:rPr>
          <w:rFonts w:ascii="Arial" w:hAnsi="Arial"/>
          <w:b w:val="0"/>
          <w:i w:val="0"/>
          <w:sz w:val="28"/>
        </w:rPr>
        <w:t>, y los preceptos que regulan la integración del sueldo básico y el cálculo de la pensión, en particular el artículo 17 de la Ley del Instituto de Seguridad y Servicios Sociales de los Trabajadores del Estado, el 64 de la ley de ese Instituto vigente hasta el 31 de marzo de 2007 y el 23 del Reglamento de Prestaciones Económicas y Vivienda del propio Instituto.</w:t>
      </w:r>
    </w:p>
    <w:p>
      <w:pPr>
        <w:spacing w:line="360" w:lineRule="auto"/>
        <w:jc w:val="both"/>
      </w:pPr>
      <w:r>
        <w:rPr>
          <w:rFonts w:ascii="Arial" w:hAnsi="Arial"/>
          <w:b w:val="0"/>
          <w:i w:val="0"/>
          <w:sz w:val="28"/>
        </w:rPr>
        <w:t>El perjuicio es concreto. La pensión por jubilación es una de las prestaciones de seguridad social que el artículo 123, apartado B, fracción XI, inciso a), de la Constitución prevé para quienes sirvieron al Estado, y su cuantía determina el ingreso con el que la parte actora vivirá a partir de su retiro. Una cuota fijada sin expresar su base deja a la persona pensionada sin medio para saber si se le reconoció lo que le corresponde y sin materia concreta que controvertir.</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La exigencia de fundar y motivar tiene dos dimensiones que conviene separar desde ahora. La doctrina distingue la motivación formal, que consiste en que el documento que contiene la decisión exprese con claridad las normas, razones y motivos que la sostienen, de modo que la persona afectada conozca la causa legal del acto, de la motivación material, que atañe a la corrección de esas razones.</w:t>
      </w:r>
      <w:r>
        <w:rPr>
          <w:rFonts w:ascii="Arial" w:hAnsi="Arial"/>
          <w:vertAlign w:val="superscript"/>
        </w:rPr>
        <w:t>1</w:t>
      </w:r>
      <w:r>
        <w:rPr>
          <w:rFonts w:ascii="Arial" w:hAnsi="Arial"/>
          <w:b w:val="0"/>
          <w:i w:val="0"/>
          <w:sz w:val="28"/>
        </w:rPr>
        <w:t xml:space="preserve"> El presente concepto se ubica en la primera dimensión: reprocha a la resolución lo que calla, con independencia de que lo que hubiera dicho resultara o no correcto.</w:t>
      </w:r>
    </w:p>
    <w:p>
      <w:pPr>
        <w:spacing w:line="360" w:lineRule="auto"/>
        <w:jc w:val="both"/>
      </w:pPr>
      <w:r>
        <w:rPr>
          <w:rFonts w:ascii="Arial" w:hAnsi="Arial"/>
          <w:b w:val="0"/>
          <w:i w:val="0"/>
          <w:sz w:val="28"/>
        </w:rPr>
        <w:t xml:space="preserve">La suficiencia de la motivación, además, se mide por su función. Se ha propuesto que el examen de una motivación cuestionada atienda al </w:t>
      </w:r>
      <w:r>
        <w:rPr>
          <w:rFonts w:ascii="Arial" w:hAnsi="Arial"/>
          <w:b w:val="0"/>
          <w:i/>
          <w:sz w:val="28"/>
        </w:rPr>
        <w:t>“para qué”</w:t>
      </w:r>
      <w:r>
        <w:rPr>
          <w:rFonts w:ascii="Arial" w:hAnsi="Arial"/>
          <w:b w:val="0"/>
          <w:i w:val="0"/>
          <w:sz w:val="28"/>
        </w:rPr>
        <w:t xml:space="preserve"> de la institución, a su funcionalidad y finalidad, y no a un inventario abstracto de elementos, de manera que su calidad se juzgue según satisfaga o no, en el caso concreto, el cometido que le corresponde.</w:t>
      </w:r>
      <w:r>
        <w:rPr>
          <w:rFonts w:ascii="Arial" w:hAnsi="Arial"/>
          <w:vertAlign w:val="superscript"/>
        </w:rPr>
        <w:t>2</w:t>
      </w:r>
      <w:r>
        <w:rPr>
          <w:rFonts w:ascii="Arial" w:hAnsi="Arial"/>
          <w:b w:val="0"/>
          <w:i w:val="0"/>
          <w:sz w:val="28"/>
        </w:rPr>
        <w:t xml:space="preserve"> En un acto que cuantifica una prestación, ese cometido consiste en permitir a la persona destinataria reconstruir el cálculo, verificarlo y, en su caso, combatirlo.</w:t>
      </w:r>
    </w:p>
    <w:p>
      <w:pPr>
        <w:spacing w:line="360" w:lineRule="auto"/>
        <w:jc w:val="both"/>
      </w:pPr>
      <w:r>
        <w:rPr>
          <w:rFonts w:ascii="Arial" w:hAnsi="Arial"/>
          <w:b w:val="0"/>
          <w:i w:val="0"/>
          <w:sz w:val="28"/>
        </w:rPr>
        <w:t xml:space="preserve">Sobre esa base debe leerse el régimen legal de la cuota diaria pensionaria. El artículo 17 de la Ley del Instituto de Seguridad y Servicios Sociales de los Trabajadores del Estado dispone que el sueldo básico que se tomará en cuenta para los efectos de esa ley será </w:t>
      </w:r>
      <w:r>
        <w:rPr>
          <w:rFonts w:ascii="Arial" w:hAnsi="Arial"/>
          <w:b w:val="0"/>
          <w:i/>
          <w:sz w:val="28"/>
        </w:rPr>
        <w:t>“el sueldo del tabulador regional que para cada puesto se haya señalado”</w:t>
      </w:r>
      <w:r>
        <w:rPr>
          <w:rFonts w:ascii="Arial" w:hAnsi="Arial"/>
          <w:b w:val="0"/>
          <w:i w:val="0"/>
          <w:sz w:val="28"/>
        </w:rPr>
        <w:t>, que sobre él se efectúan las cuotas y aportaciones, y que las dependencias y entidades deben informar anualmente al Instituto los conceptos de pago sujetos a cuotas y aportaciones, así como cualquier modificación de ellos.</w:t>
      </w:r>
    </w:p>
    <w:p>
      <w:pPr>
        <w:spacing w:line="360" w:lineRule="auto"/>
        <w:jc w:val="both"/>
      </w:pPr>
      <w:r>
        <w:rPr>
          <w:rFonts w:ascii="Arial" w:hAnsi="Arial"/>
          <w:b w:val="0"/>
          <w:i w:val="0"/>
          <w:sz w:val="28"/>
        </w:rPr>
        <w:t xml:space="preserve">Para quienes, como la parte actora, se jubilan conforme al régimen del artículo décimo transitorio del decreto que expidió esa ley, publicado en el Diario Oficial de la Federación el 31 de marzo de 2007, el artículo 64 de la ley vigente hasta esa fecha ordena calcular la pensión con </w:t>
      </w:r>
      <w:r>
        <w:rPr>
          <w:rFonts w:ascii="Arial" w:hAnsi="Arial"/>
          <w:b w:val="0"/>
          <w:i/>
          <w:sz w:val="28"/>
        </w:rPr>
        <w:t>“el promedio del sueldo básico disfrutado en el último año inmediato anterior a la fecha de la baja del trabajador”</w:t>
      </w:r>
      <w:r>
        <w:rPr>
          <w:rFonts w:ascii="Arial" w:hAnsi="Arial"/>
          <w:b w:val="0"/>
          <w:i w:val="0"/>
          <w:sz w:val="28"/>
        </w:rPr>
        <w:t>, y el artículo 15 de la misma ley integraba el sueldo básico con el sueldo presupuestal, el sobresueldo y la compensación.</w:t>
      </w:r>
    </w:p>
    <w:p>
      <w:pPr>
        <w:spacing w:line="360" w:lineRule="auto"/>
        <w:jc w:val="both"/>
      </w:pPr>
      <w:r>
        <w:rPr>
          <w:rFonts w:ascii="Arial" w:hAnsi="Arial"/>
          <w:b w:val="0"/>
          <w:i w:val="0"/>
          <w:sz w:val="28"/>
        </w:rPr>
        <w:t xml:space="preserve">Esos tres conceptos quedaron compactados, a partir de la reforma de 1984 a la Ley Federal de los Trabajadores al Servicio del Estado, en el sueldo que su artículo 32 asigna en los tabuladores regionales para cada puesto. El artículo 23 del Reglamento de Prestaciones Económicas y Vivienda del Instituto, a su vez, ordena calcular la cuota diaria pensionaria con los datos de la hoja única de servicios, la cual debe contener, en su caso, </w:t>
      </w:r>
      <w:r>
        <w:rPr>
          <w:rFonts w:ascii="Arial" w:hAnsi="Arial"/>
          <w:b w:val="0"/>
          <w:i/>
          <w:sz w:val="28"/>
        </w:rPr>
        <w:t>“las cantidades por concepto de sueldo, sobresueldo, compensación, quinquenios, prima de antigüedad y los años de servicios prestados por el trabajador”</w:t>
      </w:r>
      <w:r>
        <w:rPr>
          <w:rFonts w:ascii="Arial" w:hAnsi="Arial"/>
          <w:b w:val="0"/>
          <w:i w:val="0"/>
          <w:sz w:val="28"/>
        </w:rPr>
        <w:t>.</w:t>
      </w:r>
    </w:p>
    <w:p>
      <w:pPr>
        <w:spacing w:line="360" w:lineRule="auto"/>
        <w:jc w:val="both"/>
      </w:pPr>
      <w:r>
        <w:rPr>
          <w:rFonts w:ascii="Arial" w:hAnsi="Arial"/>
          <w:b w:val="0"/>
          <w:i w:val="0"/>
          <w:sz w:val="28"/>
        </w:rPr>
        <w:t>De este conjunto normativo se sigue que la cuota diaria pensionaria es el resultado de una serie ordenada de determinaciones: identificar el puesto y el tabulador regional que le corresponde; establecer el sueldo tabular vigente durante el último año anterior a la baja, conforme al manual de percepciones que prevé el artículo 66 de la Ley Federal de Presupuesto y Responsabilidad Hacendaria; precisar qué percepciones reportó la dependencia como sujetas a cotización; sumar los quinquenios o la prima de antigüedad; obtener el promedio, y aplicar el porcentaje que corresponda.</w:t>
      </w:r>
    </w:p>
    <w:p>
      <w:pPr>
        <w:spacing w:line="360" w:lineRule="auto"/>
        <w:jc w:val="both"/>
      </w:pPr>
      <w:r>
        <w:rPr>
          <w:rFonts w:ascii="Arial" w:hAnsi="Arial"/>
          <w:b w:val="0"/>
          <w:i w:val="0"/>
          <w:sz w:val="28"/>
        </w:rPr>
        <w:t>Cada eslabón es una premisa de la decisión, y la motivación formal exige expresarla. Por ello, como lo ha reconocido una Sala de este Tribunal en un asunto análogo, la concesión de una pensión por jubilación sólo está debidamente fundada y motivada cuando especifica las prestaciones tomadas en cuenta para el cálculo, los datos que permiten establecer con certeza el tabulador regional y el sueldo tabular aplicados, el manual de percepciones vigente en el último año anterior a la baja, los descuentos relativos al sueldo, a la prima de antigüedad o a los quinquenios, y todo lo que haya sido materia de cotización al Instituto.</w:t>
      </w:r>
    </w:p>
    <w:p>
      <w:pPr>
        <w:spacing w:line="360" w:lineRule="auto"/>
        <w:jc w:val="both"/>
      </w:pPr>
      <w:r>
        <w:rPr>
          <w:rFonts w:ascii="Arial" w:hAnsi="Arial"/>
          <w:b w:val="0"/>
          <w:i w:val="0"/>
          <w:sz w:val="28"/>
        </w:rPr>
        <w:t xml:space="preserve">La consecuencia procesal está prevista en la Ley Federal de Procedimiento Contencioso Administrativo. Su artículo 51, fracción II, declara ilegal la resolución en que se actualice la </w:t>
      </w:r>
      <w:r>
        <w:rPr>
          <w:rFonts w:ascii="Arial" w:hAnsi="Arial"/>
          <w:b w:val="0"/>
          <w:i/>
          <w:sz w:val="28"/>
        </w:rPr>
        <w:t>“Omisión de los requisitos formales exigidos por las leyes, siempre que afecte las defensas de la persona particular y trascienda al sentido de la resolución impugnada, inclusive la ausencia de fundamentación o motivación, en su caso”</w:t>
      </w:r>
      <w:r>
        <w:rPr>
          <w:rFonts w:ascii="Arial" w:hAnsi="Arial"/>
          <w:b w:val="0"/>
          <w:i w:val="0"/>
          <w:sz w:val="28"/>
        </w:rPr>
        <w:t>, y su artículo 50 exige que la sentencia que anule por ese motivo precise cómo se afectaron las defensas y cómo trascendió el vicio al sentido de la resolución.</w:t>
      </w:r>
    </w:p>
    <w:p>
      <w:pPr>
        <w:spacing w:line="360" w:lineRule="auto"/>
        <w:jc w:val="both"/>
      </w:pPr>
      <w:r>
        <w:rPr>
          <w:rFonts w:ascii="Arial" w:hAnsi="Arial"/>
          <w:b w:val="0"/>
          <w:i w:val="0"/>
          <w:sz w:val="28"/>
        </w:rPr>
        <w:t>El mismo artículo 51 faculta al Tribunal para hacer valer de oficio, por ser de orden público, la ausencia total de fundamentación o motivación de la resolución impugnada. La concesión de la parte actora carece por completo de motivación en lo que toca a la base de su cálculo, de modo que, aun en el supuesto de que este planteamiento se estimara deficiente en su formulación, el vicio queda al alcance del examen oficioso que la ley autoriza.</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encuadran en la premisa expuesta. La concesión impugnada se limita a señalar que la pensión se calculó conforme al sueldo del tabulador regional, integrado por los conceptos que la dependencia cotizó y notificó al Instituto y que obran en su base de datos institucional, en los términos siguientes: </w:t>
      </w:r>
      <w:r>
        <w:rPr>
          <w:rFonts w:ascii="Arial" w:hAnsi="Arial"/>
          <w:b w:val="0"/>
          <w:i/>
          <w:sz w:val="28"/>
        </w:rPr>
        <w:t>“[TRANSCRIPCIÓN DE LA MOTIVACIÓN DEL CÁLCULO QUE CONTIENE LA CONCESIÓN]”</w:t>
      </w:r>
      <w:r>
        <w:rPr>
          <w:rFonts w:ascii="Arial" w:hAnsi="Arial"/>
          <w:b w:val="0"/>
          <w:i w:val="0"/>
          <w:sz w:val="28"/>
        </w:rPr>
        <w:t>.</w:t>
      </w:r>
    </w:p>
    <w:p>
      <w:pPr>
        <w:spacing w:line="360" w:lineRule="auto"/>
        <w:jc w:val="both"/>
      </w:pPr>
      <w:r>
        <w:rPr>
          <w:rFonts w:ascii="Arial" w:hAnsi="Arial"/>
          <w:b w:val="0"/>
          <w:i w:val="0"/>
          <w:sz w:val="28"/>
        </w:rPr>
        <w:t xml:space="preserve">A continuación, la resolución inserta un cuadro de cifras con periodos, días, sueldo mensual, sueldo diario, ingresos acumulados, sueldo diario promedio, porcentaje y cuota diaria resultante, del que se obtiene la cuota de </w:t>
      </w:r>
      <w:r>
        <w:rPr>
          <w:rFonts w:ascii="Arial" w:hAnsi="Arial"/>
          <w:b/>
          <w:i w:val="0"/>
          <w:sz w:val="28"/>
        </w:rPr>
        <w:t>[CUOTA DIARIA ASIGNADA]</w:t>
      </w:r>
      <w:r>
        <w:rPr>
          <w:rFonts w:ascii="Arial" w:hAnsi="Arial"/>
          <w:b w:val="0"/>
          <w:i w:val="0"/>
          <w:sz w:val="28"/>
        </w:rPr>
        <w:t>. En ninguna parte identifica el puesto ni el tabulador regional aplicados, el sueldo tabular que tomó para cada periodo, el manual de percepciones que regía en el último año anterior a la baja ni las percepciones que consideró sujetas a cotización.</w:t>
      </w:r>
    </w:p>
    <w:p>
      <w:pPr>
        <w:spacing w:line="360" w:lineRule="auto"/>
        <w:jc w:val="both"/>
      </w:pPr>
      <w:r>
        <w:rPr>
          <w:rFonts w:ascii="Arial" w:hAnsi="Arial"/>
          <w:b w:val="0"/>
          <w:i w:val="0"/>
          <w:sz w:val="28"/>
        </w:rPr>
        <w:t xml:space="preserve">La hoja única de servicios expedida por </w:t>
      </w:r>
      <w:r>
        <w:rPr>
          <w:rFonts w:ascii="Arial" w:hAnsi="Arial"/>
          <w:b/>
          <w:i w:val="0"/>
          <w:sz w:val="28"/>
        </w:rPr>
        <w:t>[DEPENDENCIA O ENTIDAD DONDE LABORÓ LA PARTE ACTORA]</w:t>
      </w:r>
      <w:r>
        <w:rPr>
          <w:rFonts w:ascii="Arial" w:hAnsi="Arial"/>
          <w:b w:val="0"/>
          <w:i w:val="0"/>
          <w:sz w:val="28"/>
        </w:rPr>
        <w:t xml:space="preserve">, que conforme al artículo 23 del reglamento citado sirve de base al cálculo, tampoco suple la omisión: consigna los rubros </w:t>
      </w:r>
      <w:r>
        <w:rPr>
          <w:rFonts w:ascii="Arial" w:hAnsi="Arial"/>
          <w:b/>
          <w:i w:val="0"/>
          <w:sz w:val="28"/>
        </w:rPr>
        <w:t>[RUBROS DE LA HOJA ÚNICA DE SERVICIOS]</w:t>
      </w:r>
      <w:r>
        <w:rPr>
          <w:rFonts w:ascii="Arial" w:hAnsi="Arial"/>
          <w:b w:val="0"/>
          <w:i w:val="0"/>
          <w:sz w:val="28"/>
        </w:rPr>
        <w:t>, entre ellos uno genérico de percepciones sujetas a cotización cuyo contenido no se desglosa. Remitir a un documento ambiguo apenas traslada la ambigüedad de un papel a otro.</w:t>
      </w:r>
    </w:p>
    <w:p>
      <w:pPr>
        <w:spacing w:line="360" w:lineRule="auto"/>
        <w:jc w:val="both"/>
      </w:pPr>
      <w:r>
        <w:rPr>
          <w:rFonts w:ascii="Arial" w:hAnsi="Arial"/>
          <w:b w:val="0"/>
          <w:i w:val="0"/>
          <w:sz w:val="28"/>
        </w:rPr>
        <w:t xml:space="preserve">Esa omisión afecta las defensas de la parte actora en un sentido preciso. Durante su servicio activo percibió, según sus comprobantes de pago, </w:t>
      </w:r>
      <w:r>
        <w:rPr>
          <w:rFonts w:ascii="Arial" w:hAnsi="Arial"/>
          <w:b/>
          <w:i w:val="0"/>
          <w:sz w:val="28"/>
        </w:rPr>
        <w:t>[PERCEPCIONES QUE LA PARTE ACTORA RECIBÍA EN ACTIVO]</w:t>
      </w:r>
      <w:r>
        <w:rPr>
          <w:rFonts w:ascii="Arial" w:hAnsi="Arial"/>
          <w:b w:val="0"/>
          <w:i w:val="0"/>
          <w:sz w:val="28"/>
        </w:rPr>
        <w:t>; frente a la concesión impugnada no puede saber cuáles de ellas se incluyeron en el sueldo básico, cuáles se excluyeron ni por qué, de modo que tampoco puede identificar un error de cantidad, una percepción omitida o un periodo mal computado, ni ofrecer la prueba idónea para demostrarlo.</w:t>
      </w:r>
    </w:p>
    <w:p>
      <w:pPr>
        <w:spacing w:line="360" w:lineRule="auto"/>
        <w:jc w:val="both"/>
      </w:pPr>
      <w:r>
        <w:rPr>
          <w:rFonts w:ascii="Arial" w:hAnsi="Arial"/>
          <w:b w:val="0"/>
          <w:i w:val="0"/>
          <w:sz w:val="28"/>
        </w:rPr>
        <w:t>La indefensión se agrava por la distribución de la carga probatoria. Conforme al artículo 40 de la Ley Federal de Procedimiento Contencioso Administrativo, quien pretende que se reconozca o se haga efectivo un derecho subjetivo debe probar los hechos de los que deriva; si la persona pensionada ignora qué se incluyó en su cuota, cualquier reclamo de integración tendría que formularse a ciegas, porque nadie puede demostrar la exclusión indebida de lo que nunca se le dijo que se había excluido.</w:t>
      </w:r>
    </w:p>
    <w:p>
      <w:pPr>
        <w:spacing w:line="360" w:lineRule="auto"/>
        <w:jc w:val="both"/>
      </w:pPr>
      <w:r>
        <w:rPr>
          <w:rFonts w:ascii="Arial" w:hAnsi="Arial"/>
          <w:b w:val="0"/>
          <w:i w:val="0"/>
          <w:sz w:val="28"/>
        </w:rPr>
        <w:t>El vicio trasciende, además, al sentido de la resolución. La cuota diaria es una cantidad derivada, y cualquier variación en el tabulador aplicado, en el sueldo tabular de alguno de los periodos o en las percepciones consideradas cotizables modifica el promedio y, con él, la cuantía de la pensión. La omisión recae sobre las premisas de las que depende el contenido mismo de la decisión, y nada en el acto permite descartar que su corrección altere el monto.</w:t>
      </w:r>
    </w:p>
    <w:p>
      <w:pPr>
        <w:spacing w:line="360" w:lineRule="auto"/>
        <w:jc w:val="both"/>
      </w:pPr>
      <w:r>
        <w:rPr>
          <w:rFonts w:ascii="Arial" w:hAnsi="Arial"/>
          <w:b w:val="0"/>
          <w:i w:val="0"/>
          <w:sz w:val="28"/>
        </w:rPr>
        <w:t>Para acreditar lo anterior basta la propia resolución impugnada, que se exhibe con la demanda: el vicio consiste en lo que el documento no dice, y su ausencia se constata con la lectura del texto, sin necesidad de pericia contable ni de prueba adicional sobre la cotización de cada percepción.</w:t>
      </w:r>
    </w:p>
    <w:p>
      <w:pPr>
        <w:spacing w:line="360" w:lineRule="auto"/>
        <w:jc w:val="both"/>
      </w:pPr>
      <w:r>
        <w:rPr>
          <w:rFonts w:ascii="Arial" w:hAnsi="Arial"/>
          <w:b w:val="0"/>
          <w:i w:val="0"/>
          <w:sz w:val="28"/>
        </w:rPr>
        <w:t>Frente a este planteamiento, la única motivación que ofrece la autoridad es la remisión a lo que la dependencia cotizó y notificó al Instituto y a lo registrado en su base de datos institucional. Esa fórmula incurre en el sofisma que Bentham llamó ipsedixitismo, la afirmación que no tiene más respaldo que la palabra de quien la pronuncia, y que la doctrina de la argumentación ubica entre las falacias de elusión de la carga de la prueba.</w:t>
      </w:r>
      <w:r>
        <w:rPr>
          <w:rFonts w:ascii="Arial" w:hAnsi="Arial"/>
          <w:vertAlign w:val="superscript"/>
        </w:rPr>
        <w:t>3</w:t>
      </w:r>
    </w:p>
    <w:p>
      <w:pPr>
        <w:spacing w:line="360" w:lineRule="auto"/>
        <w:jc w:val="both"/>
      </w:pPr>
      <w:r>
        <w:rPr>
          <w:rFonts w:ascii="Arial" w:hAnsi="Arial"/>
          <w:b w:val="0"/>
          <w:i w:val="0"/>
          <w:sz w:val="28"/>
        </w:rPr>
        <w:t>La autoridad sostiene, en suma, que su cálculo es correcto porque así consta en un registro que la parte actora no conoce y que la resolución no reproduce. El defecto coincide con la falacia de eludir la carga de la prueba, que consiste en no aportar las razones que fundamentan la conclusión o en pretender que las aporte el oponente.</w:t>
      </w:r>
      <w:r>
        <w:rPr>
          <w:rFonts w:ascii="Arial" w:hAnsi="Arial"/>
          <w:vertAlign w:val="superscript"/>
        </w:rPr>
        <w:t>4</w:t>
      </w:r>
      <w:r>
        <w:rPr>
          <w:rFonts w:ascii="Arial" w:hAnsi="Arial"/>
          <w:b w:val="0"/>
          <w:i w:val="0"/>
          <w:sz w:val="28"/>
        </w:rPr>
        <w:t xml:space="preserve"> Quien emite un acto de autoridad debe dar sus razones en el propio acto, y la remisión a registros internos que no se transcriben ni se anexan traslada a la persona pensionada la tarea de averiguar lo que la autoridad debió explicar.</w:t>
      </w:r>
    </w:p>
    <w:p>
      <w:pPr>
        <w:spacing w:line="360" w:lineRule="auto"/>
        <w:jc w:val="both"/>
      </w:pPr>
      <w:r>
        <w:rPr>
          <w:rFonts w:ascii="Arial" w:hAnsi="Arial"/>
          <w:b w:val="0"/>
          <w:i w:val="0"/>
          <w:sz w:val="28"/>
        </w:rPr>
        <w:t>El cuadro de cifras tampoco motiva. Presentar para cada periodo una cantidad por concepto de sueldo sin decir de qué percepciones se compone equivale a dar por demostrado aquello que precisamente había que justificar, la integración del sueldo básico, vicio que la lógica denomina petición de principio y que consiste en tomar como punto de partida lo que no está claro por sí mismo, con lo que en realidad nada se demuestra.</w:t>
      </w:r>
      <w:r>
        <w:rPr>
          <w:rFonts w:ascii="Arial" w:hAnsi="Arial"/>
          <w:vertAlign w:val="superscript"/>
        </w:rPr>
        <w:t>5</w:t>
      </w:r>
      <w:r>
        <w:rPr>
          <w:rFonts w:ascii="Arial" w:hAnsi="Arial"/>
          <w:b w:val="0"/>
          <w:i w:val="0"/>
          <w:sz w:val="28"/>
        </w:rPr>
        <w:t xml:space="preserve"> La aritmética del cuadro puede ser impecable y, aun así, descansar sobre sumandos cuyo origen nadie puede verificar.</w:t>
      </w:r>
    </w:p>
    <w:p>
      <w:pPr>
        <w:spacing w:line="360" w:lineRule="auto"/>
        <w:jc w:val="both"/>
      </w:pPr>
      <w:r>
        <w:rPr>
          <w:rFonts w:ascii="Arial" w:hAnsi="Arial"/>
          <w:b w:val="0"/>
          <w:i w:val="0"/>
          <w:sz w:val="28"/>
        </w:rPr>
        <w:t>Es previsible que, al contestar la demanda, la autoridad sostenga que la parte actora no acreditó que determinadas percepciones hubieran sido objeto de cotización. Esa defensa incurre en ignoratio elenchi o elusión del asunto, falacia que consiste en probar algo distinto de lo que se cuestiona o en extraer una conclusión ajena al tema planteado.</w:t>
      </w:r>
      <w:r>
        <w:rPr>
          <w:rFonts w:ascii="Arial" w:hAnsi="Arial"/>
          <w:vertAlign w:val="superscript"/>
        </w:rPr>
        <w:t>6</w:t>
      </w:r>
      <w:r>
        <w:rPr>
          <w:rFonts w:ascii="Arial" w:hAnsi="Arial"/>
          <w:b w:val="0"/>
          <w:i w:val="0"/>
          <w:sz w:val="28"/>
        </w:rPr>
        <w:t xml:space="preserve"> Lo que aquí se discute es si la resolución expresa la base de su cálculo; si ciertas percepciones debían o no integrarse a esa base es una cuestión diversa, que ni siquiera puede plantearse con precisión mientras la resolución calle.</w:t>
      </w:r>
    </w:p>
    <w:p>
      <w:pPr>
        <w:spacing w:line="360" w:lineRule="auto"/>
        <w:jc w:val="both"/>
      </w:pPr>
      <w:r>
        <w:rPr>
          <w:rFonts w:ascii="Arial" w:hAnsi="Arial"/>
          <w:b w:val="0"/>
          <w:i w:val="0"/>
          <w:sz w:val="28"/>
        </w:rPr>
        <w:t>Tampoco podría la autoridad remediar en el juicio lo que omitió en el acto. El artículo 22 de la Ley Federal de Procedimiento Contencioso Administrativo impide cambiar en la contestación los fundamentos de derecho de la resolución impugnada y, por la misma razón, las explicaciones que ofrezca en juicio sobre la integración del sueldo básico no pueden suplir la motivación que la concesión omitió, porque la legalidad de ésta se juzga por lo que expresa.</w:t>
      </w:r>
    </w:p>
    <w:p>
      <w:pPr>
        <w:spacing w:line="360" w:lineRule="auto"/>
        <w:jc w:val="both"/>
      </w:pPr>
      <w:r>
        <w:rPr>
          <w:rFonts w:ascii="Arial" w:hAnsi="Arial"/>
          <w:b w:val="0"/>
          <w:i w:val="0"/>
          <w:sz w:val="28"/>
        </w:rPr>
        <w:t>La estructura del artículo 51 confirma este razonamiento. Su fracción II sanciona la omisión de requisitos formales y su fracción IV la contravención de las disposiciones aplicadas en cuanto al fondo, causales distintas a las que el artículo 52 asigna consecuencias también distintas. Desestimar este concepto porque no se probó la cotización de una percepción equivaldría a resolver la causal de fondo al examinar la formal, con lo que esta última perdería todo contenido propio.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cuota diaria pensionaria es la conclusión de una serie de premisas que la ley ordena establecer, como el tabulador regional, el sueldo tabular del último año anterior a la baja, las percepciones sujetas a cotización, los quinquenios o la prima de antigüedad y el promedio, y la concesión impugnada enuncia la conclusión sin expresar sus premisas. Esa omisión impide a la parte actora verificar y controvertir el monto de su pensión y recae sobre el contenido mismo de la decisión.</w:t>
      </w:r>
    </w:p>
    <w:p>
      <w:pPr>
        <w:spacing w:line="360" w:lineRule="auto"/>
        <w:jc w:val="both"/>
      </w:pPr>
      <w:r>
        <w:rPr>
          <w:rFonts w:ascii="Arial" w:hAnsi="Arial"/>
          <w:b w:val="0"/>
          <w:i w:val="0"/>
          <w:sz w:val="28"/>
        </w:rPr>
        <w:t xml:space="preserve">Por lo expuesto, procede declarar fundado este concepto de impugnación y, con apoyo en los artículos 51, fracción II, y 52, fracción IV, de la Ley Federal de Procedimiento Contencioso Administrativo, declarar la nulidad de la concesión impugnada para el efecto de que </w:t>
      </w:r>
      <w:r>
        <w:rPr>
          <w:rFonts w:ascii="Arial" w:hAnsi="Arial"/>
          <w:b/>
          <w:i w:val="0"/>
          <w:sz w:val="28"/>
        </w:rPr>
        <w:t>[AUTORIDAD DEMANDADA]</w:t>
      </w:r>
      <w:r>
        <w:rPr>
          <w:rFonts w:ascii="Arial" w:hAnsi="Arial"/>
          <w:b w:val="0"/>
          <w:i w:val="0"/>
          <w:sz w:val="28"/>
        </w:rPr>
        <w:t xml:space="preserve"> emita una nueva, debidamente fundada y motivada.</w:t>
      </w:r>
    </w:p>
    <w:p>
      <w:pPr>
        <w:spacing w:line="360" w:lineRule="auto"/>
        <w:jc w:val="both"/>
      </w:pPr>
      <w:r>
        <w:rPr>
          <w:rFonts w:ascii="Arial" w:hAnsi="Arial"/>
          <w:b w:val="0"/>
          <w:i w:val="0"/>
          <w:sz w:val="28"/>
        </w:rPr>
        <w:t>En esa nueva resolución, la autoridad deberá especificar las prestaciones tomadas en cuenta para el cálculo, el tabulador regional y el sueldo tabular aplicados, el manual de percepciones vigente en el último año anterior a la baja, los descuentos relativos al sueldo, a la prima de antigüedad o a los quinquenios, y todo lo que haya sido materia de cotización al Instituto.</w:t>
      </w:r>
    </w:p>
    <w:p>
      <w:pPr>
        <w:spacing w:line="360" w:lineRule="auto"/>
        <w:jc w:val="both"/>
      </w:pPr>
      <w:r>
        <w:rPr>
          <w:rFonts w:ascii="Arial" w:hAnsi="Arial"/>
          <w:b w:val="0"/>
          <w:i w:val="0"/>
          <w:sz w:val="28"/>
        </w:rPr>
        <w:t>Se solicita, además, que la sentencia precise que, al emitir la nueva resolución, la autoridad no podrá desconocer las percepciones que ya constan en la hoja única de servicios y que formaron parte del cálculo original, y que deberá detallar el contenido del rubro genérico de percepciones sujetas a cotización, de modo que la reposición que prevé el artículo 57, fracción I, inciso b), de la ley citada consista en subsanar el vicio que produjo la nulidad.</w:t>
      </w:r>
    </w:p>
    <w:p>
      <w:pPr>
        <w:spacing w:line="360" w:lineRule="auto"/>
        <w:jc w:val="both"/>
      </w:pPr>
      <w:r>
        <w:rPr>
          <w:rFonts w:ascii="Arial" w:hAnsi="Arial"/>
          <w:b w:val="0"/>
          <w:i w:val="0"/>
          <w:sz w:val="28"/>
        </w:rPr>
        <w:t>Si en la demanda se hacen valer conceptos que puedan conducir a la nulidad lisa y llana, el artículo 50 de la misma ley obliga a examinarlos primero; en ausencia de ellos, o si resultan infundados, este concepto basta por sí solo para anular la resolución impugnada con los efectos precisados.</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68.</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177.</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GARCÍA DAMBORENEA, op. cit.</w:t>
      </w:r>
      <w:r>
        <w:rPr>
          <w:rFonts w:ascii="Arial" w:hAnsi="Arial"/>
          <w:i w:val="0"/>
          <w:sz w:val="20"/>
        </w:rPr>
        <w:t>, p. 38.</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73.</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MORA RAMIREZ, Rafael, </w:t>
      </w:r>
      <w:r>
        <w:rPr>
          <w:rFonts w:ascii="Arial" w:hAnsi="Arial"/>
          <w:i/>
          <w:sz w:val="20"/>
        </w:rPr>
        <w:t>Para comprender a las falacias</w:t>
      </w:r>
      <w:r>
        <w:rPr>
          <w:rFonts w:ascii="Arial" w:hAnsi="Arial"/>
          <w:i w:val="0"/>
          <w:sz w:val="20"/>
        </w:rPr>
        <w:t>, Acuedu Ediciones, s. f., p. 74.</w:t>
      </w:r>
    </w:p>
    <w:p/>
    <w:p>
      <w:r>
        <w:rPr>
          <w:rFonts w:ascii="Arial" w:hAnsi="Arial"/>
          <w:b/>
          <w:sz w:val="22"/>
        </w:rPr>
        <w:t>BIBLIOGRAFÍA</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MORA RAMIREZ, Rafael, </w:t>
      </w:r>
      <w:r>
        <w:rPr>
          <w:rFonts w:ascii="Arial" w:hAnsi="Arial"/>
          <w:i/>
          <w:sz w:val="20"/>
        </w:rPr>
        <w:t>Para comprender a las falacias</w:t>
      </w:r>
      <w:r>
        <w:rPr>
          <w:rFonts w:ascii="Arial" w:hAnsi="Arial"/>
          <w:i w:val="0"/>
          <w:sz w:val="20"/>
        </w:rPr>
        <w:t>, Acuedu Ediciones, s. f.</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