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rial" w:hAnsi="Arial"/>
          <w:b/>
          <w:sz w:val="28"/>
        </w:rPr>
        <w:t>MACHOTE. DEMANDA DE NULIDAD TFJA. PRESCRIPCIÓN DEL CRÉDITO FISCAL POR GESTIONES DE COBRO ILEGALMENTE NOTIFICADAS</w:t>
      </w:r>
    </w:p>
    <w:p>
      <w:pPr>
        <w:jc w:val="center"/>
      </w:pPr>
      <w:r>
        <w:rPr>
          <w:rFonts w:ascii="Arial" w:hAnsi="Arial"/>
          <w:sz w:val="20"/>
        </w:rPr>
        <w:t>Machote gratuito de Academia de Amparo y Derecho — academiadeamparo.com</w:t>
      </w:r>
    </w:p>
    <w:p/>
    <w:p>
      <w:r>
        <w:rPr>
          <w:rFonts w:ascii="Arial" w:hAnsi="Arial"/>
          <w:b/>
          <w:sz w:val="24"/>
        </w:rPr>
        <w:t>CÓMO USAR ESTE MACHOTE</w:t>
      </w:r>
    </w:p>
    <w:p>
      <w:pPr>
        <w:spacing w:line="360" w:lineRule="auto"/>
        <w:jc w:val="both"/>
      </w:pPr>
      <w:r>
        <w:rPr>
          <w:rFonts w:ascii="Arial" w:hAnsi="Arial"/>
          <w:b w:val="0"/>
          <w:i w:val="0"/>
          <w:sz w:val="24"/>
        </w:rPr>
        <w:t>Descarga el machote, léelo completo y adapta el concepto de impugnación a tu demanda de nulidad. Primero reconstruye la línea de tiempo con el expediente administrativo: la notificación de la resolución determinante, la fecha en que el pago fue exigible y cada gestión de cobro con su constancia de notificación. Clasifica las gestiones en tres grupos: legalmente notificadas, notificadas por estrados o con vicios de forma, y no acreditadas o ajenas al procedimiento administrativo de ejecución.</w:t>
      </w:r>
    </w:p>
    <w:p>
      <w:pPr>
        <w:spacing w:line="360" w:lineRule="auto"/>
        <w:jc w:val="both"/>
      </w:pPr>
      <w:r>
        <w:rPr>
          <w:rFonts w:ascii="Arial" w:hAnsi="Arial"/>
          <w:b w:val="0"/>
          <w:i w:val="0"/>
          <w:sz w:val="24"/>
        </w:rPr>
        <w:t>Después llena los campos editables, verifica cada fecha contra tus documentos, ataca de manera específica cada constancia de notificación que la autoridad exhiba y elimina los párrafos que no correspondan a tu caso, por ejemplo el de procedencia si el crédito fue impugnado, o el párrafo final sobre el escrito autónomo si pediste la prescripción dentro de un recurso. Recuerda que la demanda de nulidad se presenta en treinta días (artículo 58-2, párrafo tercero, de la Ley Federal de Procedimiento Contencioso Administrativo, plazo que rige también en la vía sumaria).</w:t>
      </w:r>
    </w:p>
    <w:p>
      <w:pPr>
        <w:spacing w:line="360" w:lineRule="auto"/>
        <w:jc w:val="both"/>
      </w:pPr>
      <w:r>
        <w:rPr>
          <w:rFonts w:ascii="Arial" w:hAnsi="Arial"/>
          <w:b w:val="0"/>
          <w:i w:val="0"/>
          <w:sz w:val="24"/>
        </w:rPr>
        <w:t>Campos editables y qué poner en cada uno:</w:t>
      </w:r>
    </w:p>
    <w:p>
      <w:pPr>
        <w:spacing w:line="360" w:lineRule="auto"/>
        <w:jc w:val="both"/>
      </w:pPr>
      <w:r>
        <w:rPr>
          <w:rFonts w:ascii="Arial" w:hAnsi="Arial"/>
          <w:b/>
          <w:i w:val="0"/>
          <w:sz w:val="24"/>
        </w:rPr>
        <w:t>[NÚMERO ORDINAL DEL CONCEPTO]</w:t>
      </w:r>
      <w:r>
        <w:rPr>
          <w:rFonts w:ascii="Arial" w:hAnsi="Arial"/>
          <w:b w:val="0"/>
          <w:i w:val="0"/>
          <w:sz w:val="24"/>
        </w:rPr>
        <w:t>: el ordinal que le corresponda en tu demanda (PRIMERO, SEGUNDO…).</w:t>
      </w:r>
    </w:p>
    <w:p>
      <w:pPr>
        <w:spacing w:line="360" w:lineRule="auto"/>
        <w:jc w:val="both"/>
      </w:pPr>
      <w:r>
        <w:rPr>
          <w:rFonts w:ascii="Arial" w:hAnsi="Arial"/>
          <w:b/>
          <w:i w:val="0"/>
          <w:sz w:val="24"/>
        </w:rPr>
        <w:t>[NOMBRE DE LA PARTE ACTORA]</w:t>
      </w:r>
      <w:r>
        <w:rPr>
          <w:rFonts w:ascii="Arial" w:hAnsi="Arial"/>
          <w:b w:val="0"/>
          <w:i w:val="0"/>
          <w:sz w:val="24"/>
        </w:rPr>
        <w:t>: la persona contribuyente titular del crédito.</w:t>
      </w:r>
    </w:p>
    <w:p>
      <w:pPr>
        <w:spacing w:line="360" w:lineRule="auto"/>
        <w:jc w:val="both"/>
      </w:pPr>
      <w:r>
        <w:rPr>
          <w:rFonts w:ascii="Arial" w:hAnsi="Arial"/>
          <w:b/>
          <w:i w:val="0"/>
          <w:sz w:val="24"/>
        </w:rPr>
        <w:t>[AUTORIDAD DEMANDADA]</w:t>
      </w:r>
      <w:r>
        <w:rPr>
          <w:rFonts w:ascii="Arial" w:hAnsi="Arial"/>
          <w:b w:val="0"/>
          <w:i w:val="0"/>
          <w:sz w:val="24"/>
        </w:rPr>
        <w:t>: la unidad administrativa que negó la prescripción o practicó el cobro, con su denominación completa.</w:t>
      </w:r>
    </w:p>
    <w:p>
      <w:pPr>
        <w:spacing w:line="360" w:lineRule="auto"/>
        <w:jc w:val="both"/>
      </w:pPr>
      <w:r>
        <w:rPr>
          <w:rFonts w:ascii="Arial" w:hAnsi="Arial"/>
          <w:b/>
          <w:i w:val="0"/>
          <w:sz w:val="24"/>
        </w:rPr>
        <w:t>[NÚMERO DE OFICIO DE LA RESOLUCIÓN IMPUGNADA]</w:t>
      </w:r>
      <w:r>
        <w:rPr>
          <w:rFonts w:ascii="Arial" w:hAnsi="Arial"/>
          <w:b w:val="0"/>
          <w:i w:val="0"/>
          <w:sz w:val="24"/>
        </w:rPr>
        <w:t>: el número exacto del oficio que resolvió la solicitud de prescripción o del acto de cobro.</w:t>
      </w:r>
    </w:p>
    <w:p>
      <w:pPr>
        <w:spacing w:line="360" w:lineRule="auto"/>
        <w:jc w:val="both"/>
      </w:pPr>
      <w:r>
        <w:rPr>
          <w:rFonts w:ascii="Arial" w:hAnsi="Arial"/>
          <w:b/>
          <w:i w:val="0"/>
          <w:sz w:val="24"/>
        </w:rPr>
        <w:t>[FECHA DE EMISIÓN DE LA RESOLUCIÓN IMPUGNADA]</w:t>
      </w:r>
      <w:r>
        <w:rPr>
          <w:rFonts w:ascii="Arial" w:hAnsi="Arial"/>
          <w:b w:val="0"/>
          <w:i w:val="0"/>
          <w:sz w:val="24"/>
        </w:rPr>
        <w:t>: fecha del oficio impugnado.</w:t>
      </w:r>
    </w:p>
    <w:p>
      <w:pPr>
        <w:spacing w:line="360" w:lineRule="auto"/>
        <w:jc w:val="both"/>
      </w:pPr>
      <w:r>
        <w:rPr>
          <w:rFonts w:ascii="Arial" w:hAnsi="Arial"/>
          <w:b/>
          <w:i w:val="0"/>
          <w:sz w:val="24"/>
        </w:rPr>
        <w:t>[FECHA DE NOTIFICACIÓN DE LA RESOLUCIÓN IMPUGNADA]</w:t>
      </w:r>
      <w:r>
        <w:rPr>
          <w:rFonts w:ascii="Arial" w:hAnsi="Arial"/>
          <w:b w:val="0"/>
          <w:i w:val="0"/>
          <w:sz w:val="24"/>
        </w:rPr>
        <w:t>: fecha en que se notificó, incluido el buzón tributario.</w:t>
      </w:r>
    </w:p>
    <w:p>
      <w:pPr>
        <w:spacing w:line="360" w:lineRule="auto"/>
        <w:jc w:val="both"/>
      </w:pPr>
      <w:r>
        <w:rPr>
          <w:rFonts w:ascii="Arial" w:hAnsi="Arial"/>
          <w:b/>
          <w:i w:val="0"/>
          <w:sz w:val="24"/>
        </w:rPr>
        <w:t>[NÚMERO DEL CRÉDITO FISCAL]</w:t>
      </w:r>
      <w:r>
        <w:rPr>
          <w:rFonts w:ascii="Arial" w:hAnsi="Arial"/>
          <w:b w:val="0"/>
          <w:i w:val="0"/>
          <w:sz w:val="24"/>
        </w:rPr>
        <w:t>: número de la resolución determinante o del crédito, tal como lo identifica la autoridad.</w:t>
      </w:r>
    </w:p>
    <w:p>
      <w:pPr>
        <w:spacing w:line="360" w:lineRule="auto"/>
        <w:jc w:val="both"/>
      </w:pPr>
      <w:r>
        <w:rPr>
          <w:rFonts w:ascii="Arial" w:hAnsi="Arial"/>
          <w:b/>
          <w:i w:val="0"/>
          <w:sz w:val="24"/>
        </w:rPr>
        <w:t>[FECHA DE NOTIFICACIÓN DE LA RESOLUCIÓN DETERMINANTE]</w:t>
      </w:r>
      <w:r>
        <w:rPr>
          <w:rFonts w:ascii="Arial" w:hAnsi="Arial"/>
          <w:b w:val="0"/>
          <w:i w:val="0"/>
          <w:sz w:val="24"/>
        </w:rPr>
        <w:t>: fecha en que se notificó el crédito original.</w:t>
      </w:r>
    </w:p>
    <w:p>
      <w:pPr>
        <w:spacing w:line="360" w:lineRule="auto"/>
        <w:jc w:val="both"/>
      </w:pPr>
      <w:r>
        <w:rPr>
          <w:rFonts w:ascii="Arial" w:hAnsi="Arial"/>
          <w:b/>
          <w:i w:val="0"/>
          <w:sz w:val="24"/>
        </w:rPr>
        <w:t>[FECHA EN QUE EL PAGO PUDO SER LEGALMENTE EXIGIDO]</w:t>
      </w:r>
      <w:r>
        <w:rPr>
          <w:rFonts w:ascii="Arial" w:hAnsi="Arial"/>
          <w:b w:val="0"/>
          <w:i w:val="0"/>
          <w:sz w:val="24"/>
        </w:rPr>
        <w:t>: día en que venció el plazo para pagar o garantizar sin medio de defensa; suele ser el que la propia resolución impugnada reconoce.</w:t>
      </w:r>
    </w:p>
    <w:p>
      <w:pPr>
        <w:spacing w:line="360" w:lineRule="auto"/>
        <w:jc w:val="both"/>
      </w:pPr>
      <w:r>
        <w:rPr>
          <w:rFonts w:ascii="Arial" w:hAnsi="Arial"/>
          <w:b/>
          <w:i w:val="0"/>
          <w:sz w:val="24"/>
        </w:rPr>
        <w:t>[FECHA DE LA ÚLTIMA GESTIÓN DE COBRO LEGALMENTE NOTIFICADA]</w:t>
      </w:r>
      <w:r>
        <w:rPr>
          <w:rFonts w:ascii="Arial" w:hAnsi="Arial"/>
          <w:b w:val="0"/>
          <w:i w:val="0"/>
          <w:sz w:val="24"/>
        </w:rPr>
        <w:t>: la gestión más reciente que sí obra en el expediente con notificación válida; desde ahí corre el nuevo plazo.</w:t>
      </w:r>
    </w:p>
    <w:p>
      <w:pPr>
        <w:spacing w:line="360" w:lineRule="auto"/>
        <w:jc w:val="both"/>
      </w:pPr>
      <w:r>
        <w:rPr>
          <w:rFonts w:ascii="Arial" w:hAnsi="Arial"/>
          <w:b/>
          <w:i w:val="0"/>
          <w:sz w:val="24"/>
        </w:rPr>
        <w:t>[FECHA DE VENCIMIENTO DEL PLAZO DE CINCO AÑOS]</w:t>
      </w:r>
      <w:r>
        <w:rPr>
          <w:rFonts w:ascii="Arial" w:hAnsi="Arial"/>
          <w:b w:val="0"/>
          <w:i w:val="0"/>
          <w:sz w:val="24"/>
        </w:rPr>
        <w:t>: cinco años después de la fecha anterior.</w:t>
      </w:r>
    </w:p>
    <w:p>
      <w:pPr>
        <w:spacing w:line="360" w:lineRule="auto"/>
        <w:jc w:val="both"/>
      </w:pPr>
      <w:r>
        <w:rPr>
          <w:rFonts w:ascii="Arial" w:hAnsi="Arial"/>
          <w:b/>
          <w:i w:val="0"/>
          <w:sz w:val="24"/>
        </w:rPr>
        <w:t>[FECHA DEL MANDAMIENTO DE EJECUCIÓN NOTIFICADO POR ESTRADOS]</w:t>
      </w:r>
      <w:r>
        <w:rPr>
          <w:rFonts w:ascii="Arial" w:hAnsi="Arial"/>
          <w:b w:val="0"/>
          <w:i w:val="0"/>
          <w:sz w:val="24"/>
        </w:rPr>
        <w:t>: fecha del mandamiento o requerimiento de pago que la autoridad notificó por estrados.</w:t>
      </w:r>
    </w:p>
    <w:p>
      <w:pPr>
        <w:spacing w:line="360" w:lineRule="auto"/>
        <w:jc w:val="both"/>
      </w:pPr>
      <w:r>
        <w:rPr>
          <w:rFonts w:ascii="Arial" w:hAnsi="Arial"/>
          <w:b/>
          <w:i w:val="0"/>
          <w:sz w:val="24"/>
        </w:rPr>
        <w:t>[FECHA DE LA NOTIFICACIÓN POR ESTRADOS]</w:t>
      </w:r>
      <w:r>
        <w:rPr>
          <w:rFonts w:ascii="Arial" w:hAnsi="Arial"/>
          <w:b w:val="0"/>
          <w:i w:val="0"/>
          <w:sz w:val="24"/>
        </w:rPr>
        <w:t>: fecha en que se fijó en estrados ese acto.</w:t>
      </w:r>
    </w:p>
    <w:p>
      <w:pPr>
        <w:spacing w:line="360" w:lineRule="auto"/>
        <w:jc w:val="both"/>
      </w:pPr>
      <w:r>
        <w:rPr>
          <w:rFonts w:ascii="Arial" w:hAnsi="Arial"/>
          <w:b/>
          <w:i w:val="0"/>
          <w:sz w:val="24"/>
        </w:rPr>
        <w:t>[ACTO INVOCADO SIN CONSTANCIA EN EL EXPEDIENTE]</w:t>
      </w:r>
      <w:r>
        <w:rPr>
          <w:rFonts w:ascii="Arial" w:hAnsi="Arial"/>
          <w:b w:val="0"/>
          <w:i w:val="0"/>
          <w:sz w:val="24"/>
        </w:rPr>
        <w:t>: la gestión que la resolución menciona pero que no obra en autos, por ejemplo una compensación de saldo a favor.</w:t>
      </w:r>
    </w:p>
    <w:p>
      <w:pPr>
        <w:spacing w:line="360" w:lineRule="auto"/>
        <w:jc w:val="both"/>
      </w:pPr>
      <w:r>
        <w:rPr>
          <w:rFonts w:ascii="Arial" w:hAnsi="Arial"/>
          <w:b/>
          <w:i w:val="0"/>
          <w:sz w:val="24"/>
        </w:rPr>
        <w:t>[FECHA DE PRESENTACIÓN DE LA SOLICITUD DE PRESCRIPCIÓN]</w:t>
      </w:r>
      <w:r>
        <w:rPr>
          <w:rFonts w:ascii="Arial" w:hAnsi="Arial"/>
          <w:b w:val="0"/>
          <w:i w:val="0"/>
          <w:sz w:val="24"/>
        </w:rPr>
        <w:t>: fecha del escrito autónomo con que pediste la declaratoria.</w:t>
      </w:r>
    </w:p>
    <w:p/>
    <w:p>
      <w:pPr>
        <w:spacing w:line="360" w:lineRule="auto"/>
        <w:jc w:val="both"/>
      </w:pPr>
      <w:r>
        <w:rPr>
          <w:rFonts w:ascii="Arial" w:hAnsi="Arial"/>
          <w:b/>
          <w:sz w:val="28"/>
        </w:rPr>
        <w:t>[NÚMERO ORDINAL DEL CONCEPTO] CONCEPTO DE IMPUGNACIÓN. Prescripción del crédito fiscal. Las gestiones de cobro que la autoridad invoca como interruptoras del plazo del artículo 146 del Código Fiscal de la Federación no fueron legalmente notificadas ni acreditadas en el expediente administrativo, de modo que el plazo de cinco años transcurrió íntegro desde la última gestión válida y el crédito se extinguió; se actualiza la causal de nulidad del artículo 51, fracción IV, de la Ley Federal de Procedimiento Contencioso Administrativo y procede la nulidad lisa y llana con declaratoria expresa de prescripción.</w:t>
      </w:r>
    </w:p>
    <w:p>
      <w:pPr>
        <w:spacing w:line="360" w:lineRule="auto"/>
        <w:jc w:val="both"/>
      </w:pPr>
      <w:r>
        <w:rPr>
          <w:rFonts w:ascii="Arial" w:hAnsi="Arial"/>
          <w:b/>
          <w:sz w:val="28"/>
        </w:rPr>
        <w:t>I. Síntesis del concepto.</w:t>
      </w:r>
    </w:p>
    <w:p>
      <w:pPr>
        <w:spacing w:line="360" w:lineRule="auto"/>
        <w:jc w:val="both"/>
      </w:pPr>
      <w:r>
        <w:rPr>
          <w:rFonts w:ascii="Arial" w:hAnsi="Arial"/>
          <w:b w:val="0"/>
          <w:i w:val="0"/>
          <w:sz w:val="28"/>
        </w:rPr>
        <w:t xml:space="preserve">En este apartado se demostrará que el crédito fiscal </w:t>
      </w:r>
      <w:r>
        <w:rPr>
          <w:rFonts w:ascii="Arial" w:hAnsi="Arial"/>
          <w:b/>
          <w:i w:val="0"/>
          <w:sz w:val="28"/>
        </w:rPr>
        <w:t>[NÚMERO DEL CRÉDITO FISCAL]</w:t>
      </w:r>
      <w:r>
        <w:rPr>
          <w:rFonts w:ascii="Arial" w:hAnsi="Arial"/>
          <w:b w:val="0"/>
          <w:i w:val="0"/>
          <w:sz w:val="28"/>
        </w:rPr>
        <w:t xml:space="preserve">, cuyo pago la </w:t>
      </w:r>
      <w:r>
        <w:rPr>
          <w:rFonts w:ascii="Arial" w:hAnsi="Arial"/>
          <w:b/>
          <w:i w:val="0"/>
          <w:sz w:val="28"/>
        </w:rPr>
        <w:t>[AUTORIDAD DEMANDADA]</w:t>
      </w:r>
      <w:r>
        <w:rPr>
          <w:rFonts w:ascii="Arial" w:hAnsi="Arial"/>
          <w:b w:val="0"/>
          <w:i w:val="0"/>
          <w:sz w:val="28"/>
        </w:rPr>
        <w:t xml:space="preserve"> pretende exigir a </w:t>
      </w:r>
      <w:r>
        <w:rPr>
          <w:rFonts w:ascii="Arial" w:hAnsi="Arial"/>
          <w:b/>
          <w:i w:val="0"/>
          <w:sz w:val="28"/>
        </w:rPr>
        <w:t>[NOMBRE DE LA PARTE ACTORA]</w:t>
      </w:r>
      <w:r>
        <w:rPr>
          <w:rFonts w:ascii="Arial" w:hAnsi="Arial"/>
          <w:b w:val="0"/>
          <w:i w:val="0"/>
          <w:sz w:val="28"/>
        </w:rPr>
        <w:t xml:space="preserve">, se extinguió por prescripción antes de que se emitiera la resolución contenida en el oficio </w:t>
      </w:r>
      <w:r>
        <w:rPr>
          <w:rFonts w:ascii="Arial" w:hAnsi="Arial"/>
          <w:b/>
          <w:i w:val="0"/>
          <w:sz w:val="28"/>
        </w:rPr>
        <w:t>[NÚMERO DE OFICIO DE LA RESOLUCIÓN IMPUGNADA]</w:t>
      </w:r>
      <w:r>
        <w:rPr>
          <w:rFonts w:ascii="Arial" w:hAnsi="Arial"/>
          <w:b w:val="0"/>
          <w:i w:val="0"/>
          <w:sz w:val="28"/>
        </w:rPr>
        <w:t>, en la que se negó la declaratoria correspondiente bajo el argumento de que diversas gestiones de cobro habían interrumpido el plazo legal.</w:t>
      </w:r>
    </w:p>
    <w:p>
      <w:pPr>
        <w:spacing w:line="360" w:lineRule="auto"/>
        <w:jc w:val="both"/>
      </w:pPr>
      <w:r>
        <w:rPr>
          <w:rFonts w:ascii="Arial" w:hAnsi="Arial"/>
          <w:b w:val="0"/>
          <w:i w:val="0"/>
          <w:sz w:val="28"/>
        </w:rPr>
        <w:t>La demostración descansa en tres premisas verificables con las propias constancias del expediente administrativo. Primera: el plazo de cinco años del artículo 146 del Código Fiscal de la Federación corrió desde la fecha en que el pago pudo ser legalmente exigido, y sólo se interrumpe con gestiones de cobro que el acreedor notifique o haga saber al deudor, o con el reconocimiento expreso o tácito de éste.</w:t>
      </w:r>
    </w:p>
    <w:p>
      <w:pPr>
        <w:spacing w:line="360" w:lineRule="auto"/>
        <w:jc w:val="both"/>
      </w:pPr>
      <w:r>
        <w:rPr>
          <w:rFonts w:ascii="Arial" w:hAnsi="Arial"/>
          <w:b w:val="0"/>
          <w:i w:val="0"/>
          <w:sz w:val="28"/>
        </w:rPr>
        <w:t>Segunda: una gestión del procedimiento administrativo de ejecución notificada por estrados con el pretexto de que la persona deudora no fue localizada es ilegal, porque el artículo 137 del propio código ordena que, en esa hipótesis, el requerimiento de pago y la diligencia de embargo se comuniquen por buzón tributario; una notificación ilegal no genera certeza de conocimiento y, por tanto, no interrumpe nada.</w:t>
      </w:r>
    </w:p>
    <w:p>
      <w:pPr>
        <w:spacing w:line="360" w:lineRule="auto"/>
        <w:jc w:val="both"/>
      </w:pPr>
      <w:r>
        <w:rPr>
          <w:rFonts w:ascii="Arial" w:hAnsi="Arial"/>
          <w:b w:val="0"/>
          <w:i w:val="0"/>
          <w:sz w:val="28"/>
        </w:rPr>
        <w:t xml:space="preserve">Tercera: la carga de acreditar la existencia y la notificación de cada gestión invocada pesa sobre la autoridad, de suerte que toda gestión que no obre en el expediente administrativo con su constancia de notificación no existe para el cómputo. Depuradas así las interrupciones, la última gestión válida es la de </w:t>
      </w:r>
      <w:r>
        <w:rPr>
          <w:rFonts w:ascii="Arial" w:hAnsi="Arial"/>
          <w:b/>
          <w:i w:val="0"/>
          <w:sz w:val="28"/>
        </w:rPr>
        <w:t>[FECHA DE LA ÚLTIMA GESTIÓN DE COBRO LEGALMENTE NOTIFICADA]</w:t>
      </w:r>
      <w:r>
        <w:rPr>
          <w:rFonts w:ascii="Arial" w:hAnsi="Arial"/>
          <w:b w:val="0"/>
          <w:i w:val="0"/>
          <w:sz w:val="28"/>
        </w:rPr>
        <w:t xml:space="preserve">, el plazo venció el </w:t>
      </w:r>
      <w:r>
        <w:rPr>
          <w:rFonts w:ascii="Arial" w:hAnsi="Arial"/>
          <w:b/>
          <w:i w:val="0"/>
          <w:sz w:val="28"/>
        </w:rPr>
        <w:t>[FECHA DE VENCIMIENTO DEL PLAZO DE CINCO AÑOS]</w:t>
      </w:r>
      <w:r>
        <w:rPr>
          <w:rFonts w:ascii="Arial" w:hAnsi="Arial"/>
          <w:b w:val="0"/>
          <w:i w:val="0"/>
          <w:sz w:val="28"/>
        </w:rPr>
        <w:t xml:space="preserve"> y el crédito quedó extinguido.</w:t>
      </w:r>
    </w:p>
    <w:p>
      <w:pPr>
        <w:spacing w:line="360" w:lineRule="auto"/>
        <w:jc w:val="both"/>
      </w:pPr>
      <w:r>
        <w:rPr>
          <w:rFonts w:ascii="Arial" w:hAnsi="Arial"/>
          <w:b/>
          <w:sz w:val="28"/>
        </w:rPr>
        <w:t>II. Planteamiento.</w:t>
      </w:r>
    </w:p>
    <w:p>
      <w:pPr>
        <w:spacing w:line="360" w:lineRule="auto"/>
        <w:jc w:val="both"/>
      </w:pPr>
      <w:r>
        <w:rPr>
          <w:rFonts w:ascii="Arial" w:hAnsi="Arial"/>
          <w:b w:val="0"/>
          <w:i w:val="0"/>
          <w:sz w:val="28"/>
        </w:rPr>
        <w:t xml:space="preserve">El acto cuya nulidad se demanda es la resolución contenida en el oficio </w:t>
      </w:r>
      <w:r>
        <w:rPr>
          <w:rFonts w:ascii="Arial" w:hAnsi="Arial"/>
          <w:b/>
          <w:i w:val="0"/>
          <w:sz w:val="28"/>
        </w:rPr>
        <w:t>[NÚMERO DE OFICIO DE LA RESOLUCIÓN IMPUGNADA]</w:t>
      </w:r>
      <w:r>
        <w:rPr>
          <w:rFonts w:ascii="Arial" w:hAnsi="Arial"/>
          <w:b w:val="0"/>
          <w:i w:val="0"/>
          <w:sz w:val="28"/>
        </w:rPr>
        <w:t xml:space="preserve">, de fecha </w:t>
      </w:r>
      <w:r>
        <w:rPr>
          <w:rFonts w:ascii="Arial" w:hAnsi="Arial"/>
          <w:b/>
          <w:i w:val="0"/>
          <w:sz w:val="28"/>
        </w:rPr>
        <w:t>[FECHA DE EMISIÓN DE LA RESOLUCIÓN IMPUGNADA]</w:t>
      </w:r>
      <w:r>
        <w:rPr>
          <w:rFonts w:ascii="Arial" w:hAnsi="Arial"/>
          <w:b w:val="0"/>
          <w:i w:val="0"/>
          <w:sz w:val="28"/>
        </w:rPr>
        <w:t xml:space="preserve">, notificada el </w:t>
      </w:r>
      <w:r>
        <w:rPr>
          <w:rFonts w:ascii="Arial" w:hAnsi="Arial"/>
          <w:b/>
          <w:i w:val="0"/>
          <w:sz w:val="28"/>
        </w:rPr>
        <w:t>[FECHA DE NOTIFICACIÓN DE LA RESOLUCIÓN IMPUGNADA]</w:t>
      </w:r>
      <w:r>
        <w:rPr>
          <w:rFonts w:ascii="Arial" w:hAnsi="Arial"/>
          <w:b w:val="0"/>
          <w:i w:val="0"/>
          <w:sz w:val="28"/>
        </w:rPr>
        <w:t xml:space="preserve">, mediante la cual la </w:t>
      </w:r>
      <w:r>
        <w:rPr>
          <w:rFonts w:ascii="Arial" w:hAnsi="Arial"/>
          <w:b/>
          <w:i w:val="0"/>
          <w:sz w:val="28"/>
        </w:rPr>
        <w:t>[AUTORIDAD DEMANDADA]</w:t>
      </w:r>
      <w:r>
        <w:rPr>
          <w:rFonts w:ascii="Arial" w:hAnsi="Arial"/>
          <w:b w:val="0"/>
          <w:i w:val="0"/>
          <w:sz w:val="28"/>
        </w:rPr>
        <w:t xml:space="preserve"> resolvió que el crédito fiscal </w:t>
      </w:r>
      <w:r>
        <w:rPr>
          <w:rFonts w:ascii="Arial" w:hAnsi="Arial"/>
          <w:b/>
          <w:i w:val="0"/>
          <w:sz w:val="28"/>
        </w:rPr>
        <w:t>[NÚMERO DEL CRÉDITO FISCAL]</w:t>
      </w:r>
      <w:r>
        <w:rPr>
          <w:rFonts w:ascii="Arial" w:hAnsi="Arial"/>
          <w:b w:val="0"/>
          <w:i w:val="0"/>
          <w:sz w:val="28"/>
        </w:rPr>
        <w:t xml:space="preserve"> no ha prescrito, en respuesta a la solicitud de declaratoria presentada por la parte actora el </w:t>
      </w:r>
      <w:r>
        <w:rPr>
          <w:rFonts w:ascii="Arial" w:hAnsi="Arial"/>
          <w:b/>
          <w:i w:val="0"/>
          <w:sz w:val="28"/>
        </w:rPr>
        <w:t>[FECHA DE PRESENTACIÓN DE LA SOLICITUD DE PRESCRIPCIÓN]</w:t>
      </w:r>
      <w:r>
        <w:rPr>
          <w:rFonts w:ascii="Arial" w:hAnsi="Arial"/>
          <w:b w:val="0"/>
          <w:i w:val="0"/>
          <w:sz w:val="28"/>
        </w:rPr>
        <w:t>.</w:t>
      </w:r>
    </w:p>
    <w:p>
      <w:pPr>
        <w:spacing w:line="360" w:lineRule="auto"/>
        <w:jc w:val="both"/>
      </w:pPr>
      <w:r>
        <w:rPr>
          <w:rFonts w:ascii="Arial" w:hAnsi="Arial"/>
          <w:b w:val="0"/>
          <w:i w:val="0"/>
          <w:sz w:val="28"/>
        </w:rPr>
        <w:t xml:space="preserve">El mismo planteamiento es útil cuando el acto impugnado es un requerimiento de pago, un mandamiento de ejecución o un embargo practicados sobre un crédito ya extinguido, pues el segundo párrafo del artículo 146 del Código Fiscal de la Federación dispone expresamente que la prescripción </w:t>
      </w:r>
      <w:r>
        <w:rPr>
          <w:rFonts w:ascii="Arial" w:hAnsi="Arial"/>
          <w:b w:val="0"/>
          <w:i/>
          <w:sz w:val="28"/>
        </w:rPr>
        <w:t>«se podrá oponer como excepción en los recursos administrativos o a través del juicio contencioso administrativo»</w:t>
      </w:r>
      <w:r>
        <w:rPr>
          <w:rFonts w:ascii="Arial" w:hAnsi="Arial"/>
          <w:b w:val="0"/>
          <w:i w:val="0"/>
          <w:sz w:val="28"/>
        </w:rPr>
        <w:t>. En ese supuesto basta ajustar la identificación del acto.</w:t>
      </w:r>
    </w:p>
    <w:p>
      <w:pPr>
        <w:spacing w:line="360" w:lineRule="auto"/>
        <w:jc w:val="both"/>
      </w:pPr>
      <w:r>
        <w:rPr>
          <w:rFonts w:ascii="Arial" w:hAnsi="Arial"/>
          <w:b w:val="0"/>
          <w:i w:val="0"/>
          <w:sz w:val="28"/>
        </w:rPr>
        <w:t>Las normas cuya inobservancia se plantea son el artículo 146 del Código Fiscal de la Federación, que fija el plazo de cinco años y las causas tasadas de interrupción y suspensión; los artículos 134, fracción III, y 137 del mismo código, que regulan la forma en que deben notificarse las gestiones del procedimiento administrativo de ejecución; y el artículo 16, primer párrafo, de la Constitución Política de los Estados Unidos Mexicanos, del que derivan los principios de legalidad y seguridad jurídica que impiden a la autoridad prolongar por vía de hecho sus facultades de cobro.</w:t>
      </w:r>
    </w:p>
    <w:p>
      <w:pPr>
        <w:spacing w:line="360" w:lineRule="auto"/>
        <w:jc w:val="both"/>
      </w:pPr>
      <w:r>
        <w:rPr>
          <w:rFonts w:ascii="Arial" w:hAnsi="Arial"/>
          <w:b w:val="0"/>
          <w:i w:val="0"/>
          <w:sz w:val="28"/>
        </w:rPr>
        <w:t>El perjuicio es directo: se mantiene vivo, con actualización y recargos, un adeudo que la ley declara extinguido, y se conserva abierta la posibilidad de embargos e inmovilizaciones sobre el patrimonio de la parte actora. De prosperar este concepto, el beneficio es el mayor posible en el juicio: la nulidad lisa y llana de la resolución impugnada y la declaratoria de que el crédito prescribió, sin que la autoridad pueda reiterar válidamente el cobro.</w:t>
      </w:r>
    </w:p>
    <w:p>
      <w:pPr>
        <w:spacing w:line="360" w:lineRule="auto"/>
        <w:jc w:val="both"/>
      </w:pPr>
      <w:r>
        <w:rPr>
          <w:rFonts w:ascii="Arial" w:hAnsi="Arial"/>
          <w:b w:val="0"/>
          <w:i w:val="0"/>
          <w:sz w:val="28"/>
        </w:rPr>
        <w:t xml:space="preserve">Como cuestión previa de procedencia, conviene dejar asentado que este Tribunal es competente para conocer de la solicitud de prescripción. La fracción II del artículo 3 de la Ley Orgánica del Tribunal Federal de Justicia Administrativa, reformada mediante decreto publicado en el Diario Oficial de la Federación el 16 de octubre de 2025, sólo excluye los actos que resuelvan sobre solicitudes de prescripción respecto de créditos </w:t>
      </w:r>
      <w:r>
        <w:rPr>
          <w:rFonts w:ascii="Arial" w:hAnsi="Arial"/>
          <w:b w:val="0"/>
          <w:i/>
          <w:sz w:val="28"/>
        </w:rPr>
        <w:t>«determinados en resoluciones liquidatorias que hubieren sido impugnadas y hayan quedado firmes por resolución de autoridad competente»</w:t>
      </w:r>
      <w:r>
        <w:rPr>
          <w:rFonts w:ascii="Arial" w:hAnsi="Arial"/>
          <w:b w:val="0"/>
          <w:i w:val="0"/>
          <w:sz w:val="28"/>
        </w:rPr>
        <w:t>.</w:t>
      </w:r>
    </w:p>
    <w:p>
      <w:pPr>
        <w:spacing w:line="360" w:lineRule="auto"/>
        <w:jc w:val="both"/>
      </w:pPr>
      <w:r>
        <w:rPr>
          <w:rFonts w:ascii="Arial" w:hAnsi="Arial"/>
          <w:b w:val="0"/>
          <w:i w:val="0"/>
          <w:sz w:val="28"/>
        </w:rPr>
        <w:t xml:space="preserve">En el caso, la resolución determinante del crédito </w:t>
      </w:r>
      <w:r>
        <w:rPr>
          <w:rFonts w:ascii="Arial" w:hAnsi="Arial"/>
          <w:b/>
          <w:i w:val="0"/>
          <w:sz w:val="28"/>
        </w:rPr>
        <w:t>[NÚMERO DEL CRÉDITO FISCAL]</w:t>
      </w:r>
      <w:r>
        <w:rPr>
          <w:rFonts w:ascii="Arial" w:hAnsi="Arial"/>
          <w:b w:val="0"/>
          <w:i w:val="0"/>
          <w:sz w:val="28"/>
        </w:rPr>
        <w:t xml:space="preserve"> no fue impugnada por medio de defensa alguno, de modo que su firmeza no deriva de una resolución de autoridad competente, sino del simple transcurso del plazo legal. La excepción, por ser de interpretación estricta, no se actualiza y no cabe la causal de improcedencia de los artículos 8, fracción II, y 9, fracción II, de la Ley Federal de Procedimiento Contencioso Administrativo, como lo ha reconocido la Sala en casos análogos.</w:t>
      </w:r>
    </w:p>
    <w:p>
      <w:pPr>
        <w:spacing w:line="360" w:lineRule="auto"/>
        <w:jc w:val="both"/>
      </w:pPr>
      <w:r>
        <w:rPr>
          <w:rFonts w:ascii="Arial" w:hAnsi="Arial"/>
          <w:b/>
          <w:sz w:val="28"/>
        </w:rPr>
        <w:t>III. Desarrollo doctrinal y normativo. Premisa mayor.</w:t>
      </w:r>
    </w:p>
    <w:p>
      <w:pPr>
        <w:spacing w:line="360" w:lineRule="auto"/>
        <w:jc w:val="both"/>
      </w:pPr>
      <w:r>
        <w:rPr>
          <w:rFonts w:ascii="Arial" w:hAnsi="Arial"/>
          <w:b w:val="0"/>
          <w:i w:val="0"/>
          <w:sz w:val="28"/>
        </w:rPr>
        <w:t>Conviene partir de la naturaleza de la institución. El artículo 146 del Código Fiscal de la Federación dispone que el crédito fiscal se extingue por prescripción en el término de cinco años, que corre a partir de la fecha en que el pago pudo ser legalmente exigido. No se trata de una sanción a la autoridad, sino de una regla de estabilidad: la doctrina explica que las relaciones o situaciones jurídicas consolidadas por prescripción o caducidad encuentran su fundamento en el principio de seguridad jurídica, al grado de quedar a salvo incluso de las sentencias que después declaren inválida la norma en que se apoyaron.</w:t>
      </w:r>
      <w:r>
        <w:rPr>
          <w:rFonts w:ascii="Arial" w:hAnsi="Arial"/>
          <w:vertAlign w:val="superscript"/>
        </w:rPr>
        <w:t>1</w:t>
      </w:r>
    </w:p>
    <w:p>
      <w:pPr>
        <w:spacing w:line="360" w:lineRule="auto"/>
        <w:jc w:val="both"/>
      </w:pPr>
      <w:r>
        <w:rPr>
          <w:rFonts w:ascii="Arial" w:hAnsi="Arial"/>
          <w:b w:val="0"/>
          <w:i w:val="0"/>
          <w:sz w:val="28"/>
        </w:rPr>
        <w:t>Ese principio tiene rango constitucional. El primer párrafo del artículo 16 de la Constitución exige que todo acto de molestia provenga de mandamiento escrito de autoridad competente que funde y motive la causa legal del procedimiento. El tiempo forma parte de esa causa legal: una gestión de cobro emitida cuando el crédito ya se extinguió carece de causa, aunque se funde en preceptos del procedimiento administrativo de ejecución.</w:t>
      </w:r>
    </w:p>
    <w:p>
      <w:pPr>
        <w:spacing w:line="360" w:lineRule="auto"/>
        <w:jc w:val="both"/>
      </w:pPr>
      <w:r>
        <w:rPr>
          <w:rFonts w:ascii="Arial" w:hAnsi="Arial"/>
          <w:b w:val="0"/>
          <w:i w:val="0"/>
          <w:sz w:val="28"/>
        </w:rPr>
        <w:t xml:space="preserve">El propio artículo 146 configura las causas de interrupción de manera tasada. El plazo </w:t>
      </w:r>
      <w:r>
        <w:rPr>
          <w:rFonts w:ascii="Arial" w:hAnsi="Arial"/>
          <w:b w:val="0"/>
          <w:i/>
          <w:sz w:val="28"/>
        </w:rPr>
        <w:t>«se interrumpe con cada gestión de cobro que el acreedor notifique o haga saber al deudor o por el reconocimiento expreso o tácito de éste respecto de la existencia del crédito»</w:t>
      </w:r>
      <w:r>
        <w:rPr>
          <w:rFonts w:ascii="Arial" w:hAnsi="Arial"/>
          <w:b w:val="0"/>
          <w:i w:val="0"/>
          <w:sz w:val="28"/>
        </w:rPr>
        <w:t xml:space="preserve">, y se considera gestión de cobro </w:t>
      </w:r>
      <w:r>
        <w:rPr>
          <w:rFonts w:ascii="Arial" w:hAnsi="Arial"/>
          <w:b w:val="0"/>
          <w:i/>
          <w:sz w:val="28"/>
        </w:rPr>
        <w:t>«cualquier actuación de la autoridad dentro del procedimiento administrativo de ejecución, siempre que se haga del conocimiento del deudor»</w:t>
      </w:r>
      <w:r>
        <w:rPr>
          <w:rFonts w:ascii="Arial" w:hAnsi="Arial"/>
          <w:b w:val="0"/>
          <w:i w:val="0"/>
          <w:sz w:val="28"/>
        </w:rPr>
        <w:t>. La interrupción, pues, no nace de la actuación en sí, sino de su comunicación eficaz a la persona deudora.</w:t>
      </w:r>
    </w:p>
    <w:p>
      <w:pPr>
        <w:spacing w:line="360" w:lineRule="auto"/>
        <w:jc w:val="both"/>
      </w:pPr>
      <w:r>
        <w:rPr>
          <w:rFonts w:ascii="Arial" w:hAnsi="Arial"/>
          <w:b w:val="0"/>
          <w:i w:val="0"/>
          <w:sz w:val="28"/>
        </w:rPr>
        <w:t>La notificación es la pieza que cierra ese circuito. La doctrina procesal la define como un medio de comunicación procesal que, respetando las especies y formalidades que cada legislación prevé, da a conocer a las partes una resolución judicial o administrativa.</w:t>
      </w:r>
      <w:r>
        <w:rPr>
          <w:rFonts w:ascii="Arial" w:hAnsi="Arial"/>
          <w:vertAlign w:val="superscript"/>
        </w:rPr>
        <w:t>2</w:t>
      </w:r>
      <w:r>
        <w:rPr>
          <w:rFonts w:ascii="Arial" w:hAnsi="Arial"/>
          <w:b w:val="0"/>
          <w:i w:val="0"/>
          <w:sz w:val="28"/>
        </w:rPr>
        <w:t xml:space="preserve"> Su objetivo primordial es que hechos o actos ocurridos sin la presencia de la persona interesada lleguen a su conocimiento, lo que a su vez posibilita la oportunidad de defensa y el cumplimiento de las cargas correspondientes.</w:t>
      </w:r>
      <w:r>
        <w:rPr>
          <w:rFonts w:ascii="Arial" w:hAnsi="Arial"/>
          <w:vertAlign w:val="superscript"/>
        </w:rPr>
        <w:t>3</w:t>
      </w:r>
    </w:p>
    <w:p>
      <w:pPr>
        <w:spacing w:line="360" w:lineRule="auto"/>
        <w:jc w:val="both"/>
      </w:pPr>
      <w:r>
        <w:rPr>
          <w:rFonts w:ascii="Arial" w:hAnsi="Arial"/>
          <w:b w:val="0"/>
          <w:i w:val="0"/>
          <w:sz w:val="28"/>
        </w:rPr>
        <w:t xml:space="preserve">De ahí que las formalidades de la notificación no sean un adorno, sino la garantía de que el conocimiento se produjo. Cuando la notificación de una gestión de cobro se practica fuera de las formas legales, no puede afirmarse que la persona deudora conoció el acto; y sin conocimiento no hay interrupción, porque el artículo 146 sólo atribuye ese efecto a la gestión </w:t>
      </w:r>
      <w:r>
        <w:rPr>
          <w:rFonts w:ascii="Arial" w:hAnsi="Arial"/>
          <w:b w:val="0"/>
          <w:i/>
          <w:sz w:val="28"/>
        </w:rPr>
        <w:t>«que el acreedor notifique o haga saber al deudor»</w:t>
      </w:r>
      <w:r>
        <w:rPr>
          <w:rFonts w:ascii="Arial" w:hAnsi="Arial"/>
          <w:b w:val="0"/>
          <w:i w:val="0"/>
          <w:sz w:val="28"/>
        </w:rPr>
        <w:t>. Así lo ha reconocido la Sala en casos análogos, al negar efecto interruptor a las gestiones ilegalmente notificadas.</w:t>
      </w:r>
    </w:p>
    <w:p>
      <w:pPr>
        <w:spacing w:line="360" w:lineRule="auto"/>
        <w:jc w:val="both"/>
      </w:pPr>
      <w:r>
        <w:rPr>
          <w:rFonts w:ascii="Arial" w:hAnsi="Arial"/>
          <w:b w:val="0"/>
          <w:i w:val="0"/>
          <w:sz w:val="28"/>
        </w:rPr>
        <w:t>Tratándose del procedimiento administrativo de ejecución, la forma está expresamente regulada. El artículo 134, fracción III, del Código Fiscal de la Federación autoriza, como regla general, la notificación por estrados cuando la persona no sea localizable en su domicilio fiscal, se ignore su domicilio, desaparezca, se oponga a la diligencia o se coloque en el supuesto de la fracción V del artículo 110. Pero el artículo 137 del propio código contiene una regla especial para el requerimiento de pago y el embargo.</w:t>
      </w:r>
    </w:p>
    <w:p>
      <w:pPr>
        <w:spacing w:line="360" w:lineRule="auto"/>
        <w:jc w:val="both"/>
      </w:pPr>
      <w:r>
        <w:rPr>
          <w:rFonts w:ascii="Arial" w:hAnsi="Arial"/>
          <w:b w:val="0"/>
          <w:i w:val="0"/>
          <w:sz w:val="28"/>
        </w:rPr>
        <w:t xml:space="preserve">Conforme a ese precepto, en su texto aplicable a la fecha de la diligencia, cuando el requerimiento de pago a que se refiere el artículo 151 no pueda realizarse personalmente porque la persona no sea localizada en el domicilio fiscal, se ignore su domicilio, desaparezca, se oponga a la diligencia o se coloque en el supuesto de la fracción V del artículo 110, </w:t>
      </w:r>
      <w:r>
        <w:rPr>
          <w:rFonts w:ascii="Arial" w:hAnsi="Arial"/>
          <w:b w:val="0"/>
          <w:i/>
          <w:sz w:val="28"/>
        </w:rPr>
        <w:t>«la notificación del requerimiento de pago y la diligencia de embargo se realizarán a través del buzón tributario»</w:t>
      </w:r>
      <w:r>
        <w:rPr>
          <w:rFonts w:ascii="Arial" w:hAnsi="Arial"/>
          <w:b w:val="0"/>
          <w:i w:val="0"/>
          <w:sz w:val="28"/>
        </w:rPr>
        <w:t>. La regla especial desplaza a la general, por elemental técnica interpretativa.</w:t>
      </w:r>
    </w:p>
    <w:p>
      <w:pPr>
        <w:spacing w:line="360" w:lineRule="auto"/>
        <w:jc w:val="both"/>
      </w:pPr>
      <w:r>
        <w:rPr>
          <w:rFonts w:ascii="Arial" w:hAnsi="Arial"/>
          <w:b w:val="0"/>
          <w:i w:val="0"/>
          <w:sz w:val="28"/>
        </w:rPr>
        <w:t>La razón de la regla especial es funcional. El propósito de la diligencia del procedimiento administrativo de ejecución no es sólo dar aviso, sino requerir el pago y, en su caso, embargar bienes; nada de eso se logra fijando el acto en los estrados de una oficina. El legislador previó para ese caso un medio de comunicación directo y verificable, el buzón tributario, y la autoridad que acude a los estrados sin siquiera alegar imposibilidad de utilizarlo se aparta de la forma legal, criterio que esta Sala ha compartido al resolver casos análogos.</w:t>
      </w:r>
    </w:p>
    <w:p>
      <w:pPr>
        <w:spacing w:line="360" w:lineRule="auto"/>
        <w:jc w:val="both"/>
      </w:pPr>
      <w:r>
        <w:rPr>
          <w:rFonts w:ascii="Arial" w:hAnsi="Arial"/>
          <w:b w:val="0"/>
          <w:i w:val="0"/>
          <w:sz w:val="28"/>
        </w:rPr>
        <w:t>A la regla de forma se suma la regla de prueba. Las gestiones de cobro son hechos que la autoridad afirma en su beneficio para sostener que el plazo se interrumpió; conforme al principio de carga de la prueba, quien afirma un hecho en el proceso debe probarlo, sin que baste la sola declaración del funcionario para tener por acreditada la verdad de su dicho.</w:t>
      </w:r>
      <w:r>
        <w:rPr>
          <w:rFonts w:ascii="Arial" w:hAnsi="Arial"/>
          <w:vertAlign w:val="superscript"/>
        </w:rPr>
        <w:t>4</w:t>
      </w:r>
      <w:r>
        <w:rPr>
          <w:rFonts w:ascii="Arial" w:hAnsi="Arial"/>
          <w:b w:val="0"/>
          <w:i w:val="0"/>
          <w:sz w:val="28"/>
        </w:rPr>
        <w:t xml:space="preserve"> La presunción de validez del artículo 42 de la Ley Federal de Procedimiento Contencioso Administrativo no alcanza a los hechos que la autoridad omitió documentar.</w:t>
      </w:r>
    </w:p>
    <w:p>
      <w:pPr>
        <w:spacing w:line="360" w:lineRule="auto"/>
        <w:jc w:val="both"/>
      </w:pPr>
      <w:r>
        <w:rPr>
          <w:rFonts w:ascii="Arial" w:hAnsi="Arial"/>
          <w:b w:val="0"/>
          <w:i w:val="0"/>
          <w:sz w:val="28"/>
        </w:rPr>
        <w:t>Esa carga se cumple, en el juicio contencioso administrativo federal, con el expediente administrativo que la demandada debe exhibir al contestar, cuyas constancias tienen valor probatorio pleno en términos del artículo 46, fracción I, de la Ley Federal de Procedimiento Contencioso Administrativo y de los artículos 129 y 202 del Código Federal de Procedimientos Civiles. Lo que no obra ahí, con su constancia de notificación, no puede computarse como interrupción, así se mencione en la resolución impugnada.</w:t>
      </w:r>
    </w:p>
    <w:p>
      <w:pPr>
        <w:spacing w:line="360" w:lineRule="auto"/>
        <w:jc w:val="both"/>
      </w:pPr>
      <w:r>
        <w:rPr>
          <w:rFonts w:ascii="Arial" w:hAnsi="Arial"/>
          <w:b w:val="0"/>
          <w:i w:val="0"/>
          <w:sz w:val="28"/>
        </w:rPr>
        <w:t xml:space="preserve">Finalmente, la propia ley pone un techo. El artículo 146 dispone que el plazo para que se configure la prescripción, </w:t>
      </w:r>
      <w:r>
        <w:rPr>
          <w:rFonts w:ascii="Arial" w:hAnsi="Arial"/>
          <w:b w:val="0"/>
          <w:i/>
          <w:sz w:val="28"/>
        </w:rPr>
        <w:t>«en ningún caso, incluyendo cuando este se haya interrumpido, podrá exceder de diez años contados a partir de que el crédito fiscal pudo ser legalmente exigido»</w:t>
      </w:r>
      <w:r>
        <w:rPr>
          <w:rFonts w:ascii="Arial" w:hAnsi="Arial"/>
          <w:b w:val="0"/>
          <w:i w:val="0"/>
          <w:sz w:val="28"/>
        </w:rPr>
        <w:t>, descontados sólo los periodos de suspensión previstos en el mismo precepto. Este tope opera como argumento subsidiario cuando la sucesión de gestiones, aun válidas, se prolonga más allá de una década.</w:t>
      </w:r>
    </w:p>
    <w:p>
      <w:pPr>
        <w:spacing w:line="360" w:lineRule="auto"/>
        <w:jc w:val="both"/>
      </w:pPr>
      <w:r>
        <w:rPr>
          <w:rFonts w:ascii="Arial" w:hAnsi="Arial"/>
          <w:b/>
          <w:sz w:val="28"/>
        </w:rPr>
        <w:t>IV. Aplicación al caso concreto y refutación de la motivación de la autoridad.</w:t>
      </w:r>
    </w:p>
    <w:p>
      <w:pPr>
        <w:spacing w:line="360" w:lineRule="auto"/>
        <w:jc w:val="both"/>
      </w:pPr>
      <w:r>
        <w:rPr>
          <w:rFonts w:ascii="Arial" w:hAnsi="Arial"/>
          <w:b w:val="0"/>
          <w:i w:val="0"/>
          <w:sz w:val="28"/>
        </w:rPr>
        <w:t xml:space="preserve">Los hechos del expediente encuadran con exactitud en la premisa expuesta. La resolución determinante del crédito </w:t>
      </w:r>
      <w:r>
        <w:rPr>
          <w:rFonts w:ascii="Arial" w:hAnsi="Arial"/>
          <w:b/>
          <w:i w:val="0"/>
          <w:sz w:val="28"/>
        </w:rPr>
        <w:t>[NÚMERO DEL CRÉDITO FISCAL]</w:t>
      </w:r>
      <w:r>
        <w:rPr>
          <w:rFonts w:ascii="Arial" w:hAnsi="Arial"/>
          <w:b w:val="0"/>
          <w:i w:val="0"/>
          <w:sz w:val="28"/>
        </w:rPr>
        <w:t xml:space="preserve"> se notificó a la parte actora el </w:t>
      </w:r>
      <w:r>
        <w:rPr>
          <w:rFonts w:ascii="Arial" w:hAnsi="Arial"/>
          <w:b/>
          <w:i w:val="0"/>
          <w:sz w:val="28"/>
        </w:rPr>
        <w:t>[FECHA DE NOTIFICACIÓN DE LA RESOLUCIÓN DETERMINANTE]</w:t>
      </w:r>
      <w:r>
        <w:rPr>
          <w:rFonts w:ascii="Arial" w:hAnsi="Arial"/>
          <w:b w:val="0"/>
          <w:i w:val="0"/>
          <w:sz w:val="28"/>
        </w:rPr>
        <w:t xml:space="preserve">; transcurrido el plazo para pagar o garantizar sin que se interpusiera medio de defensa, el pago pudo ser legalmente exigido desde el </w:t>
      </w:r>
      <w:r>
        <w:rPr>
          <w:rFonts w:ascii="Arial" w:hAnsi="Arial"/>
          <w:b/>
          <w:i w:val="0"/>
          <w:sz w:val="28"/>
        </w:rPr>
        <w:t>[FECHA EN QUE EL PAGO PUDO SER LEGALMENTE EXIGIDO]</w:t>
      </w:r>
      <w:r>
        <w:rPr>
          <w:rFonts w:ascii="Arial" w:hAnsi="Arial"/>
          <w:b w:val="0"/>
          <w:i w:val="0"/>
          <w:sz w:val="28"/>
        </w:rPr>
        <w:t>, hecho que la propia autoridad reconoce en la resolución impugnada. Ese es el día uno del cómputo.</w:t>
      </w:r>
    </w:p>
    <w:p>
      <w:pPr>
        <w:spacing w:line="360" w:lineRule="auto"/>
        <w:jc w:val="both"/>
      </w:pPr>
      <w:r>
        <w:rPr>
          <w:rFonts w:ascii="Arial" w:hAnsi="Arial"/>
          <w:b w:val="0"/>
          <w:i w:val="0"/>
          <w:sz w:val="28"/>
        </w:rPr>
        <w:t xml:space="preserve">A partir de ahí, la resolución impugnada enlista una serie de gestiones que, según la autoridad, interrumpieron el plazo. Sometidas al tamiz del artículo 146, sólo resiste la de </w:t>
      </w:r>
      <w:r>
        <w:rPr>
          <w:rFonts w:ascii="Arial" w:hAnsi="Arial"/>
          <w:b/>
          <w:i w:val="0"/>
          <w:sz w:val="28"/>
        </w:rPr>
        <w:t>[FECHA DE LA ÚLTIMA GESTIÓN DE COBRO LEGALMENTE NOTIFICADA]</w:t>
      </w:r>
      <w:r>
        <w:rPr>
          <w:rFonts w:ascii="Arial" w:hAnsi="Arial"/>
          <w:b w:val="0"/>
          <w:i w:val="0"/>
          <w:sz w:val="28"/>
        </w:rPr>
        <w:t xml:space="preserve">, única respecto de la cual obra en el expediente administrativo constancia de notificación practicada con las formalidades legales. Desde esa fecha corrió un nuevo plazo de cinco años, que venció el </w:t>
      </w:r>
      <w:r>
        <w:rPr>
          <w:rFonts w:ascii="Arial" w:hAnsi="Arial"/>
          <w:b/>
          <w:i w:val="0"/>
          <w:sz w:val="28"/>
        </w:rPr>
        <w:t>[FECHA DE VENCIMIENTO DEL PLAZO DE CINCO AÑOS]</w:t>
      </w:r>
      <w:r>
        <w:rPr>
          <w:rFonts w:ascii="Arial" w:hAnsi="Arial"/>
          <w:b w:val="0"/>
          <w:i w:val="0"/>
          <w:sz w:val="28"/>
        </w:rPr>
        <w:t>.</w:t>
      </w:r>
    </w:p>
    <w:p>
      <w:pPr>
        <w:spacing w:line="360" w:lineRule="auto"/>
        <w:jc w:val="both"/>
      </w:pPr>
      <w:r>
        <w:rPr>
          <w:rFonts w:ascii="Arial" w:hAnsi="Arial"/>
          <w:b w:val="0"/>
          <w:i w:val="0"/>
          <w:sz w:val="28"/>
        </w:rPr>
        <w:t xml:space="preserve">Entre esas dos fechas, la autoridad invoca el mandamiento de ejecución de </w:t>
      </w:r>
      <w:r>
        <w:rPr>
          <w:rFonts w:ascii="Arial" w:hAnsi="Arial"/>
          <w:b/>
          <w:i w:val="0"/>
          <w:sz w:val="28"/>
        </w:rPr>
        <w:t>[FECHA DEL MANDAMIENTO DE EJECUCIÓN NOTIFICADO POR ESTRADOS]</w:t>
      </w:r>
      <w:r>
        <w:rPr>
          <w:rFonts w:ascii="Arial" w:hAnsi="Arial"/>
          <w:b w:val="0"/>
          <w:i w:val="0"/>
          <w:sz w:val="28"/>
        </w:rPr>
        <w:t xml:space="preserve">, con su requerimiento de pago, notificado por estrados el </w:t>
      </w:r>
      <w:r>
        <w:rPr>
          <w:rFonts w:ascii="Arial" w:hAnsi="Arial"/>
          <w:b/>
          <w:i w:val="0"/>
          <w:sz w:val="28"/>
        </w:rPr>
        <w:t>[FECHA DE LA NOTIFICACIÓN POR ESTRADOS]</w:t>
      </w:r>
      <w:r>
        <w:rPr>
          <w:rFonts w:ascii="Arial" w:hAnsi="Arial"/>
          <w:b w:val="0"/>
          <w:i w:val="0"/>
          <w:sz w:val="28"/>
        </w:rPr>
        <w:t xml:space="preserve"> con apoyo en un acta en la que el ejecutor asentó que no localizó a la parte actora en su domicilio y que los vecinos manifestaron desconocerla. Esa notificación es ilegal y, por ello, ineficaz para interrumpir la prescripción.</w:t>
      </w:r>
    </w:p>
    <w:p>
      <w:pPr>
        <w:spacing w:line="360" w:lineRule="auto"/>
        <w:jc w:val="both"/>
      </w:pPr>
      <w:r>
        <w:rPr>
          <w:rFonts w:ascii="Arial" w:hAnsi="Arial"/>
          <w:b w:val="0"/>
          <w:i w:val="0"/>
          <w:sz w:val="28"/>
        </w:rPr>
        <w:t>Es ilegal porque el supuesto de hecho asentado en el acta, la no localización de la persona deudora, es precisamente el que el artículo 137 del Código Fiscal de la Federación resuelve ordenando que la notificación del requerimiento de pago y la diligencia de embargo se realicen por buzón tributario. La ejecutora acudió, en cambio, a los estrados del artículo 134, fracción III, sin expresar ni acreditar imposibilidad alguna de usar el buzón. La forma elegida no era la que la ley señalaba para ese acto.</w:t>
      </w:r>
    </w:p>
    <w:p>
      <w:pPr>
        <w:spacing w:line="360" w:lineRule="auto"/>
        <w:jc w:val="both"/>
      </w:pPr>
      <w:r>
        <w:rPr>
          <w:rFonts w:ascii="Arial" w:hAnsi="Arial"/>
          <w:b w:val="0"/>
          <w:i w:val="0"/>
          <w:sz w:val="28"/>
        </w:rPr>
        <w:t xml:space="preserve">Es ineficaz porque, sin notificación legal, no puede afirmarse que la parte actora conoció el requerimiento; y el artículo 146 sólo interrumpe el plazo con la gestión </w:t>
      </w:r>
      <w:r>
        <w:rPr>
          <w:rFonts w:ascii="Arial" w:hAnsi="Arial"/>
          <w:b w:val="0"/>
          <w:i/>
          <w:sz w:val="28"/>
        </w:rPr>
        <w:t>«que el acreedor notifique o haga saber al deudor»</w:t>
      </w:r>
      <w:r>
        <w:rPr>
          <w:rFonts w:ascii="Arial" w:hAnsi="Arial"/>
          <w:b w:val="0"/>
          <w:i w:val="0"/>
          <w:sz w:val="28"/>
        </w:rPr>
        <w:t>. La autoridad no puede beneficiarse de una comunicación que ella misma practicó al margen de la ley, pues ello equivaldría a dejar en sus manos la duración de su propia facultad de cobro, resultado incompatible con la seguridad jurídica que protege el artículo 16 constitucional.</w:t>
      </w:r>
    </w:p>
    <w:p>
      <w:pPr>
        <w:spacing w:line="360" w:lineRule="auto"/>
        <w:jc w:val="both"/>
      </w:pPr>
      <w:r>
        <w:rPr>
          <w:rFonts w:ascii="Arial" w:hAnsi="Arial"/>
          <w:b w:val="0"/>
          <w:i w:val="0"/>
          <w:sz w:val="28"/>
        </w:rPr>
        <w:t xml:space="preserve">La autoridad invoca también </w:t>
      </w:r>
      <w:r>
        <w:rPr>
          <w:rFonts w:ascii="Arial" w:hAnsi="Arial"/>
          <w:b/>
          <w:i w:val="0"/>
          <w:sz w:val="28"/>
        </w:rPr>
        <w:t>[ACTO INVOCADO SIN CONSTANCIA EN EL EXPEDIENTE]</w:t>
      </w:r>
      <w:r>
        <w:rPr>
          <w:rFonts w:ascii="Arial" w:hAnsi="Arial"/>
          <w:b w:val="0"/>
          <w:i w:val="0"/>
          <w:sz w:val="28"/>
        </w:rPr>
        <w:t>, que no obra en el expediente administrativo exhibido con la contestación ni cuenta con constancia de notificación. Conforme a la regla de carga probatoria expuesta, ese acto no existe para el cómputo. No basta que la resolución impugnada lo mencione: la afirmación de la autoridad no es prueba de sí misma.</w:t>
      </w:r>
    </w:p>
    <w:p>
      <w:pPr>
        <w:spacing w:line="360" w:lineRule="auto"/>
        <w:jc w:val="both"/>
      </w:pPr>
      <w:r>
        <w:rPr>
          <w:rFonts w:ascii="Arial" w:hAnsi="Arial"/>
          <w:b w:val="0"/>
          <w:i w:val="0"/>
          <w:sz w:val="28"/>
        </w:rPr>
        <w:t>Por idéntica razón deben descartarse, en su caso, los actos que no constituyen gestión de cobro ni reconocimiento del adeudo, como la resolución de una solicitud de devolución presentada por la parte actora o la compensación de oficio que la autoridad practica sin intervención de la persona deudora: ninguno es una actuación del procedimiento administrativo de ejecución hecha del conocimiento del deudor, ni implica que éste haya admitido, expresa o tácitamente, la existencia del crédito.</w:t>
      </w:r>
    </w:p>
    <w:p>
      <w:pPr>
        <w:spacing w:line="360" w:lineRule="auto"/>
        <w:jc w:val="both"/>
      </w:pPr>
      <w:r>
        <w:rPr>
          <w:rFonts w:ascii="Arial" w:hAnsi="Arial"/>
          <w:b w:val="0"/>
          <w:i w:val="0"/>
          <w:sz w:val="28"/>
        </w:rPr>
        <w:t xml:space="preserve">Tampoco cuentan los actos de ejecución notificados después del </w:t>
      </w:r>
      <w:r>
        <w:rPr>
          <w:rFonts w:ascii="Arial" w:hAnsi="Arial"/>
          <w:b/>
          <w:i w:val="0"/>
          <w:sz w:val="28"/>
        </w:rPr>
        <w:t>[FECHA DE VENCIMIENTO DEL PLAZO DE CINCO AÑOS]</w:t>
      </w:r>
      <w:r>
        <w:rPr>
          <w:rFonts w:ascii="Arial" w:hAnsi="Arial"/>
          <w:b w:val="0"/>
          <w:i w:val="0"/>
          <w:sz w:val="28"/>
        </w:rPr>
        <w:t>, como el avalúo de bienes practicado años después del embargo del que deriva. La interrupción presupone un plazo en curso: nada puede interrumpir lo que ya se consumó, y un crédito extinguido no revive por una diligencia tardía.</w:t>
      </w:r>
    </w:p>
    <w:p>
      <w:pPr>
        <w:spacing w:line="360" w:lineRule="auto"/>
        <w:jc w:val="both"/>
      </w:pPr>
      <w:r>
        <w:rPr>
          <w:rFonts w:ascii="Arial" w:hAnsi="Arial"/>
          <w:b w:val="0"/>
          <w:i w:val="0"/>
          <w:sz w:val="28"/>
        </w:rPr>
        <w:t xml:space="preserve">El cómputo resultante es aritmética elemental. Última gestión legalmente notificada: </w:t>
      </w:r>
      <w:r>
        <w:rPr>
          <w:rFonts w:ascii="Arial" w:hAnsi="Arial"/>
          <w:b/>
          <w:i w:val="0"/>
          <w:sz w:val="28"/>
        </w:rPr>
        <w:t>[FECHA DE LA ÚLTIMA GESTIÓN DE COBRO LEGALMENTE NOTIFICADA]</w:t>
      </w:r>
      <w:r>
        <w:rPr>
          <w:rFonts w:ascii="Arial" w:hAnsi="Arial"/>
          <w:b w:val="0"/>
          <w:i w:val="0"/>
          <w:sz w:val="28"/>
        </w:rPr>
        <w:t xml:space="preserve">. Vencimiento del plazo de cinco años: </w:t>
      </w:r>
      <w:r>
        <w:rPr>
          <w:rFonts w:ascii="Arial" w:hAnsi="Arial"/>
          <w:b/>
          <w:i w:val="0"/>
          <w:sz w:val="28"/>
        </w:rPr>
        <w:t>[FECHA DE VENCIMIENTO DEL PLAZO DE CINCO AÑOS]</w:t>
      </w:r>
      <w:r>
        <w:rPr>
          <w:rFonts w:ascii="Arial" w:hAnsi="Arial"/>
          <w:b w:val="0"/>
          <w:i w:val="0"/>
          <w:sz w:val="28"/>
        </w:rPr>
        <w:t xml:space="preserve">. Gestiones legalmente notificadas entre ambas fechas: ninguna. Solicitud de declaratoria de prescripción: </w:t>
      </w:r>
      <w:r>
        <w:rPr>
          <w:rFonts w:ascii="Arial" w:hAnsi="Arial"/>
          <w:b/>
          <w:i w:val="0"/>
          <w:sz w:val="28"/>
        </w:rPr>
        <w:t>[FECHA DE PRESENTACIÓN DE LA SOLICITUD DE PRESCRIPCIÓN]</w:t>
      </w:r>
      <w:r>
        <w:rPr>
          <w:rFonts w:ascii="Arial" w:hAnsi="Arial"/>
          <w:b w:val="0"/>
          <w:i w:val="0"/>
          <w:sz w:val="28"/>
        </w:rPr>
        <w:t>, posterior al vencimiento.</w:t>
      </w:r>
    </w:p>
    <w:p>
      <w:pPr>
        <w:spacing w:line="360" w:lineRule="auto"/>
        <w:jc w:val="both"/>
      </w:pPr>
      <w:r>
        <w:rPr>
          <w:rFonts w:ascii="Arial" w:hAnsi="Arial"/>
          <w:b w:val="0"/>
          <w:i w:val="0"/>
          <w:sz w:val="28"/>
        </w:rPr>
        <w:t>La subsunción es directa: el crédito se extinguió por ministerio de ley y la resolución que afirma lo contrario apreció los hechos de forma equivocada, hipótesis exacta de la fracción IV del artículo 51 de la Ley Federal de Procedimiento Contencioso Administrativo.</w:t>
      </w:r>
    </w:p>
    <w:p>
      <w:pPr>
        <w:spacing w:line="360" w:lineRule="auto"/>
        <w:jc w:val="both"/>
      </w:pPr>
      <w:r>
        <w:rPr>
          <w:rFonts w:ascii="Arial" w:hAnsi="Arial"/>
          <w:b w:val="0"/>
          <w:i w:val="0"/>
          <w:sz w:val="28"/>
        </w:rPr>
        <w:t>Frente a ello, la motivación de la autoridad descansa en dos razonamientos lógicamente inválidos. El primero consiste en sostener que la notificación por estrados fue legal porque el artículo 134, fracción III, autoriza esa vía cuando la persona no es localizable. Ese argumento incurre en la falacia que la doctrina de la argumentación llama secundum quid o de mala aplicación de una regla, que se comete al aplicar rígidamente una norma general como si no existieran excepciones.</w:t>
      </w:r>
      <w:r>
        <w:rPr>
          <w:rFonts w:ascii="Arial" w:hAnsi="Arial"/>
          <w:vertAlign w:val="superscript"/>
        </w:rPr>
        <w:t>5</w:t>
      </w:r>
    </w:p>
    <w:p>
      <w:pPr>
        <w:spacing w:line="360" w:lineRule="auto"/>
        <w:jc w:val="both"/>
      </w:pPr>
      <w:r>
        <w:rPr>
          <w:rFonts w:ascii="Arial" w:hAnsi="Arial"/>
          <w:b w:val="0"/>
          <w:i w:val="0"/>
          <w:sz w:val="28"/>
        </w:rPr>
        <w:t>La regla general de los estrados existe, pero el legislador la exceptuó expresamente para el requerimiento de pago y el embargo del procedimiento administrativo de ejecución, en el tercer párrafo del artículo 137. La autoridad razona como si esa excepción no estuviera escrita: invoca la fracción III del 134 y calla el 137. Un razonamiento que omite la norma especial aplicable no es una interpretación, sino una selección interesada del material normativo, y su conclusión no se sostiene.</w:t>
      </w:r>
    </w:p>
    <w:p>
      <w:pPr>
        <w:spacing w:line="360" w:lineRule="auto"/>
        <w:jc w:val="both"/>
      </w:pPr>
      <w:r>
        <w:rPr>
          <w:rFonts w:ascii="Arial" w:hAnsi="Arial"/>
          <w:b w:val="0"/>
          <w:i w:val="0"/>
          <w:sz w:val="28"/>
        </w:rPr>
        <w:t>El segundo razonamiento consiste en tener por interrumpido el plazo con la sola enumeración de gestiones en la resolución impugnada, sin que cada una obre en el expediente con su constancia de notificación. Ello configura una petición de principio, que la doctrina describe como postular o sentar aquello mismo que era preciso demostrar, de modo que lo que sirve de fundamento no es más claro ni más conocido que lo que se pretende probar.</w:t>
      </w:r>
      <w:r>
        <w:rPr>
          <w:rFonts w:ascii="Arial" w:hAnsi="Arial"/>
          <w:vertAlign w:val="superscript"/>
        </w:rPr>
        <w:t>6</w:t>
      </w:r>
    </w:p>
    <w:p>
      <w:pPr>
        <w:spacing w:line="360" w:lineRule="auto"/>
        <w:jc w:val="both"/>
      </w:pPr>
      <w:r>
        <w:rPr>
          <w:rFonts w:ascii="Arial" w:hAnsi="Arial"/>
          <w:b w:val="0"/>
          <w:i w:val="0"/>
          <w:sz w:val="28"/>
        </w:rPr>
        <w:t>La autoridad debía probar que la parte actora conoció legalmente cada gestión; en lugar de hacerlo, afirma que las gestiones existieron y de esa afirmación deduce la interrupción. La premisa presupone la conclusión. Depurada la lista de las gestiones no acreditadas y de las ilegalmente notificadas, lo que queda es un plazo de cinco años que corrió íntegro sin interrupción válida, y un crédito que la ley declara extinguido.</w:t>
      </w:r>
    </w:p>
    <w:p>
      <w:pPr>
        <w:spacing w:line="360" w:lineRule="auto"/>
        <w:jc w:val="both"/>
      </w:pPr>
      <w:r>
        <w:rPr>
          <w:rFonts w:ascii="Arial" w:hAnsi="Arial"/>
          <w:b w:val="0"/>
          <w:i w:val="0"/>
          <w:sz w:val="28"/>
        </w:rPr>
        <w:t xml:space="preserve">Para que el cómputo anterior no se altere por convalidación, la parte actora controvierte de manera específica las formalidades de cada constancia de notificación que la autoridad exhiba respecto de las gestiones posteriores a la de </w:t>
      </w:r>
      <w:r>
        <w:rPr>
          <w:rFonts w:ascii="Arial" w:hAnsi="Arial"/>
          <w:b/>
          <w:i w:val="0"/>
          <w:sz w:val="28"/>
        </w:rPr>
        <w:t>[FECHA DE LA ÚLTIMA GESTIÓN DE COBRO LEGALMENTE NOTIFICADA]</w:t>
      </w:r>
      <w:r>
        <w:rPr>
          <w:rFonts w:ascii="Arial" w:hAnsi="Arial"/>
          <w:b w:val="0"/>
          <w:i w:val="0"/>
          <w:sz w:val="28"/>
        </w:rPr>
        <w:t>, y niega lisa y llanamente las que nunca le fueron practicadas. Ninguna de ellas puede, por tanto, tenerse por consentida ni servir de punto de partida a un nuevo plazo, pues sólo la notificación que no se combate de manera específica se tiene por convalidada, criterio que la Sala ha sostenido en casos análogos.</w:t>
      </w:r>
    </w:p>
    <w:p>
      <w:pPr>
        <w:spacing w:line="360" w:lineRule="auto"/>
        <w:jc w:val="both"/>
      </w:pPr>
      <w:r>
        <w:rPr>
          <w:rFonts w:ascii="Arial" w:hAnsi="Arial"/>
          <w:b w:val="0"/>
          <w:i w:val="0"/>
          <w:sz w:val="28"/>
        </w:rPr>
        <w:t xml:space="preserve">Conviene precisar, por último, que la solicitud de declaratoria de prescripción se formuló por escrito autónomo de </w:t>
      </w:r>
      <w:r>
        <w:rPr>
          <w:rFonts w:ascii="Arial" w:hAnsi="Arial"/>
          <w:b/>
          <w:i w:val="0"/>
          <w:sz w:val="28"/>
        </w:rPr>
        <w:t>[FECHA DE PRESENTACIÓN DE LA SOLICITUD DE PRESCRIPCIÓN]</w:t>
      </w:r>
      <w:r>
        <w:rPr>
          <w:rFonts w:ascii="Arial" w:hAnsi="Arial"/>
          <w:b w:val="0"/>
          <w:i w:val="0"/>
          <w:sz w:val="28"/>
        </w:rPr>
        <w:t>, con fundamento en el último párrafo del artículo 146 del Código Fiscal de la Federación, y no como recurso de revocación contra la resolución determinante. Por ello no puede tratarse como un recurso extemporáneo con apoyo en el artículo 121 del propio código; y, para que no quede duda de su contenido, se exhibe como prueba el escrito mismo, con lo que se satisface la carga que impone el artículo 81 del Código Federal de Procedimientos Civiles.</w:t>
      </w:r>
    </w:p>
    <w:p>
      <w:pPr>
        <w:spacing w:line="360" w:lineRule="auto"/>
        <w:jc w:val="both"/>
      </w:pPr>
      <w:r>
        <w:rPr>
          <w:rFonts w:ascii="Arial" w:hAnsi="Arial"/>
          <w:b/>
          <w:sz w:val="28"/>
        </w:rPr>
        <w:t>V. Conclusión y petición parcial.</w:t>
      </w:r>
    </w:p>
    <w:p>
      <w:pPr>
        <w:spacing w:line="360" w:lineRule="auto"/>
        <w:jc w:val="both"/>
      </w:pPr>
      <w:r>
        <w:rPr>
          <w:rFonts w:ascii="Arial" w:hAnsi="Arial"/>
          <w:b w:val="0"/>
          <w:i w:val="0"/>
          <w:sz w:val="28"/>
        </w:rPr>
        <w:t xml:space="preserve">En suma: el plazo de prescripción del crédito fiscal </w:t>
      </w:r>
      <w:r>
        <w:rPr>
          <w:rFonts w:ascii="Arial" w:hAnsi="Arial"/>
          <w:b/>
          <w:i w:val="0"/>
          <w:sz w:val="28"/>
        </w:rPr>
        <w:t>[NÚMERO DEL CRÉDITO FISCAL]</w:t>
      </w:r>
      <w:r>
        <w:rPr>
          <w:rFonts w:ascii="Arial" w:hAnsi="Arial"/>
          <w:b w:val="0"/>
          <w:i w:val="0"/>
          <w:sz w:val="28"/>
        </w:rPr>
        <w:t xml:space="preserve"> corrió desde que el pago pudo ser legalmente exigido; sólo lo interrumpieron las gestiones de cobro legalmente notificadas y acreditadas en el expediente administrativo; la última de ellas data de </w:t>
      </w:r>
      <w:r>
        <w:rPr>
          <w:rFonts w:ascii="Arial" w:hAnsi="Arial"/>
          <w:b/>
          <w:i w:val="0"/>
          <w:sz w:val="28"/>
        </w:rPr>
        <w:t>[FECHA DE LA ÚLTIMA GESTIÓN DE COBRO LEGALMENTE NOTIFICADA]</w:t>
      </w:r>
      <w:r>
        <w:rPr>
          <w:rFonts w:ascii="Arial" w:hAnsi="Arial"/>
          <w:b w:val="0"/>
          <w:i w:val="0"/>
          <w:sz w:val="28"/>
        </w:rPr>
        <w:t>.</w:t>
      </w:r>
    </w:p>
    <w:p>
      <w:pPr>
        <w:spacing w:line="360" w:lineRule="auto"/>
        <w:jc w:val="both"/>
      </w:pPr>
      <w:r>
        <w:rPr>
          <w:rFonts w:ascii="Arial" w:hAnsi="Arial"/>
          <w:b w:val="0"/>
          <w:i w:val="0"/>
          <w:sz w:val="28"/>
        </w:rPr>
        <w:t xml:space="preserve">Las gestiones posteriores que la autoridad invoca fueron notificadas por estrados en contravención del artículo 137 del Código Fiscal de la Federación o simplemente no fueron probadas; y el plazo de cinco años venció el </w:t>
      </w:r>
      <w:r>
        <w:rPr>
          <w:rFonts w:ascii="Arial" w:hAnsi="Arial"/>
          <w:b/>
          <w:i w:val="0"/>
          <w:sz w:val="28"/>
        </w:rPr>
        <w:t>[FECHA DE VENCIMIENTO DEL PLAZO DE CINCO AÑOS]</w:t>
      </w:r>
      <w:r>
        <w:rPr>
          <w:rFonts w:ascii="Arial" w:hAnsi="Arial"/>
          <w:b w:val="0"/>
          <w:i w:val="0"/>
          <w:sz w:val="28"/>
        </w:rPr>
        <w:t xml:space="preserve"> sin gestión válida alguna.</w:t>
      </w:r>
    </w:p>
    <w:p>
      <w:pPr>
        <w:spacing w:line="360" w:lineRule="auto"/>
        <w:jc w:val="both"/>
      </w:pPr>
      <w:r>
        <w:rPr>
          <w:rFonts w:ascii="Arial" w:hAnsi="Arial"/>
          <w:b w:val="0"/>
          <w:i w:val="0"/>
          <w:sz w:val="28"/>
        </w:rPr>
        <w:t xml:space="preserve">Por lo expuesto, procede declarar fundado el presente concepto de impugnación y decretar la nulidad lisa y llana de la resolución impugnada, con fundamento en los artículos 51, fracción IV, y 52, fracción II, de la Ley Federal de Procedimiento Contencioso Administrativo, y declarar expresamente que el crédito fiscal </w:t>
      </w:r>
      <w:r>
        <w:rPr>
          <w:rFonts w:ascii="Arial" w:hAnsi="Arial"/>
          <w:b/>
          <w:i w:val="0"/>
          <w:sz w:val="28"/>
        </w:rPr>
        <w:t>[NÚMERO DEL CRÉDITO FISCAL]</w:t>
      </w:r>
      <w:r>
        <w:rPr>
          <w:rFonts w:ascii="Arial" w:hAnsi="Arial"/>
          <w:b w:val="0"/>
          <w:i w:val="0"/>
          <w:sz w:val="28"/>
        </w:rPr>
        <w:t xml:space="preserve"> se extinguió por prescripción en términos del artículo 146 del Código Fiscal de la Federación.</w:t>
      </w:r>
    </w:p>
    <w:p>
      <w:pPr>
        <w:spacing w:line="360" w:lineRule="auto"/>
        <w:jc w:val="both"/>
      </w:pPr>
      <w:r>
        <w:rPr>
          <w:rFonts w:ascii="Arial" w:hAnsi="Arial"/>
          <w:b w:val="0"/>
          <w:i w:val="0"/>
          <w:sz w:val="28"/>
        </w:rPr>
        <w:t>Dado que la prescripción extingue el crédito en su totalidad, se solicita el estudio preferente de este concepto, pues su acogimiento hace innecesario el examen de los restantes y otorga el mayor beneficio jurídico posible.</w:t>
      </w:r>
    </w:p>
    <w:p/>
    <w:p>
      <w:r>
        <w:rPr>
          <w:rFonts w:ascii="Arial" w:hAnsi="Arial"/>
          <w:b/>
          <w:sz w:val="22"/>
        </w:rPr>
        <w:t>NOTAS</w:t>
      </w:r>
    </w:p>
    <w:p>
      <w:pPr>
        <w:spacing w:after="60"/>
        <w:ind w:left="360" w:hanging="360"/>
        <w:jc w:val="both"/>
      </w:pPr>
      <w:r>
        <w:rPr>
          <w:rFonts w:ascii="Arial" w:hAnsi="Arial"/>
          <w:sz w:val="20"/>
          <w:vertAlign w:val="superscript"/>
        </w:rPr>
        <w:t>1</w:t>
      </w:r>
      <w:r>
        <w:rPr>
          <w:sz w:val="20"/>
        </w:rPr>
        <w:t xml:space="preserve"> </w:t>
      </w:r>
      <w:r>
        <w:rPr>
          <w:rFonts w:ascii="Arial" w:hAnsi="Arial"/>
          <w:i w:val="0"/>
          <w:sz w:val="20"/>
        </w:rPr>
        <w:t xml:space="preserve">HERNÁNDEZ VALLE, Rubén, </w:t>
      </w:r>
      <w:r>
        <w:rPr>
          <w:rFonts w:ascii="Arial" w:hAnsi="Arial"/>
          <w:i/>
          <w:sz w:val="20"/>
        </w:rPr>
        <w:t>Derecho procesal constitucional y derecho convencional</w:t>
      </w:r>
      <w:r>
        <w:rPr>
          <w:rFonts w:ascii="Arial" w:hAnsi="Arial"/>
          <w:i w:val="0"/>
          <w:sz w:val="20"/>
        </w:rPr>
        <w:t>, Instituto de Estudios Constitucionales del Estado de Querétaro, México, 2021, p. 271.</w:t>
      </w:r>
    </w:p>
    <w:p>
      <w:pPr>
        <w:spacing w:after="60"/>
        <w:ind w:left="360" w:hanging="360"/>
        <w:jc w:val="both"/>
      </w:pPr>
      <w:r>
        <w:rPr>
          <w:rFonts w:ascii="Arial" w:hAnsi="Arial"/>
          <w:sz w:val="20"/>
          <w:vertAlign w:val="superscript"/>
        </w:rPr>
        <w:t>2</w:t>
      </w:r>
      <w:r>
        <w:rPr>
          <w:sz w:val="20"/>
        </w:rPr>
        <w:t xml:space="preserve"> </w:t>
      </w: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 p. 1560.</w:t>
      </w:r>
    </w:p>
    <w:p>
      <w:pPr>
        <w:spacing w:after="60"/>
        <w:ind w:left="360" w:hanging="360"/>
        <w:jc w:val="both"/>
      </w:pPr>
      <w:r>
        <w:rPr>
          <w:rFonts w:ascii="Arial" w:hAnsi="Arial"/>
          <w:sz w:val="20"/>
          <w:vertAlign w:val="superscript"/>
        </w:rPr>
        <w:t>3</w:t>
      </w:r>
      <w:r>
        <w:rPr>
          <w:sz w:val="20"/>
        </w:rPr>
        <w:t xml:space="preserve"> </w:t>
      </w:r>
      <w:r>
        <w:rPr>
          <w:rFonts w:ascii="Arial" w:hAnsi="Arial"/>
          <w:i w:val="0"/>
          <w:sz w:val="20"/>
        </w:rPr>
        <w:t>FERRER MAC-GREGOR, op. cit.</w:t>
      </w:r>
      <w:r>
        <w:rPr>
          <w:rFonts w:ascii="Arial" w:hAnsi="Arial"/>
          <w:i w:val="0"/>
          <w:sz w:val="20"/>
        </w:rPr>
        <w:t>, p. 1561.</w:t>
      </w:r>
    </w:p>
    <w:p>
      <w:pPr>
        <w:spacing w:after="60"/>
        <w:ind w:left="360" w:hanging="360"/>
        <w:jc w:val="both"/>
      </w:pPr>
      <w:r>
        <w:rPr>
          <w:rFonts w:ascii="Arial" w:hAnsi="Arial"/>
          <w:sz w:val="20"/>
          <w:vertAlign w:val="superscript"/>
        </w:rPr>
        <w:t>4</w:t>
      </w:r>
      <w:r>
        <w:rPr>
          <w:sz w:val="20"/>
        </w:rPr>
        <w:t xml:space="preserve"> </w:t>
      </w:r>
      <w:r>
        <w:rPr>
          <w:rFonts w:ascii="Arial" w:hAnsi="Arial"/>
          <w:i w:val="0"/>
          <w:sz w:val="20"/>
        </w:rPr>
        <w:t xml:space="preserve">HERNÁNDEZ VALLE, Rubén, </w:t>
      </w:r>
      <w:r>
        <w:rPr>
          <w:rFonts w:ascii="Arial" w:hAnsi="Arial"/>
          <w:i/>
          <w:sz w:val="20"/>
        </w:rPr>
        <w:t>Derecho procesal constitucional y derecho convencional</w:t>
      </w:r>
      <w:r>
        <w:rPr>
          <w:rFonts w:ascii="Arial" w:hAnsi="Arial"/>
          <w:i w:val="0"/>
          <w:sz w:val="20"/>
        </w:rPr>
        <w:t>, Instituto de Estudios Constitucionales del Estado de Querétaro, México, 2021, p. 228.</w:t>
      </w:r>
    </w:p>
    <w:p>
      <w:pPr>
        <w:spacing w:after="60"/>
        <w:ind w:left="360" w:hanging="360"/>
        <w:jc w:val="both"/>
      </w:pPr>
      <w:r>
        <w:rPr>
          <w:rFonts w:ascii="Arial" w:hAnsi="Arial"/>
          <w:sz w:val="20"/>
          <w:vertAlign w:val="superscript"/>
        </w:rPr>
        <w:t>5</w:t>
      </w:r>
      <w:r>
        <w:rPr>
          <w:sz w:val="20"/>
        </w:rPr>
        <w:t xml:space="preserve"> </w:t>
      </w: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 p. 84.</w:t>
      </w:r>
    </w:p>
    <w:p>
      <w:pPr>
        <w:spacing w:after="60"/>
        <w:ind w:left="360" w:hanging="360"/>
        <w:jc w:val="both"/>
      </w:pPr>
      <w:r>
        <w:rPr>
          <w:rFonts w:ascii="Arial" w:hAnsi="Arial"/>
          <w:sz w:val="20"/>
          <w:vertAlign w:val="superscript"/>
        </w:rPr>
        <w:t>6</w:t>
      </w:r>
      <w:r>
        <w:rPr>
          <w:sz w:val="20"/>
        </w:rPr>
        <w:t xml:space="preserve"> </w:t>
      </w:r>
      <w:r>
        <w:rPr>
          <w:rFonts w:ascii="Arial" w:hAnsi="Arial"/>
          <w:i w:val="0"/>
          <w:sz w:val="20"/>
        </w:rPr>
        <w:t>GARCÍA DAMBORENEA, op. cit.</w:t>
      </w:r>
      <w:r>
        <w:rPr>
          <w:rFonts w:ascii="Arial" w:hAnsi="Arial"/>
          <w:i w:val="0"/>
          <w:sz w:val="20"/>
        </w:rPr>
        <w:t>, p. 73.</w:t>
      </w:r>
    </w:p>
    <w:p/>
    <w:p>
      <w:r>
        <w:rPr>
          <w:rFonts w:ascii="Arial" w:hAnsi="Arial"/>
          <w:b/>
          <w:sz w:val="22"/>
        </w:rPr>
        <w:t>BIBLIOGRAFÍA</w:t>
      </w:r>
    </w:p>
    <w:p>
      <w:pPr>
        <w:spacing w:after="60"/>
        <w:ind w:left="360" w:hanging="360"/>
        <w:jc w:val="both"/>
      </w:pPr>
      <w:r>
        <w:rPr>
          <w:rFonts w:ascii="Arial" w:hAnsi="Arial"/>
          <w:i w:val="0"/>
          <w:sz w:val="20"/>
        </w:rPr>
        <w:t xml:space="preserve">FERRER MAC-GREGOR, Eduardo et al. (coord.), </w:t>
      </w:r>
      <w:r>
        <w:rPr>
          <w:rFonts w:ascii="Arial" w:hAnsi="Arial"/>
          <w:i/>
          <w:sz w:val="20"/>
        </w:rPr>
        <w:t>Diccionario de derecho procesal constitucional y convencional</w:t>
      </w:r>
      <w:r>
        <w:rPr>
          <w:rFonts w:ascii="Arial" w:hAnsi="Arial"/>
          <w:i w:val="0"/>
          <w:sz w:val="20"/>
        </w:rPr>
        <w:t>, 3ª ed., Querétaro, México, 2021.</w:t>
      </w:r>
    </w:p>
    <w:p>
      <w:pPr>
        <w:spacing w:after="60"/>
        <w:ind w:left="360" w:hanging="360"/>
        <w:jc w:val="both"/>
      </w:pPr>
      <w:r>
        <w:rPr>
          <w:rFonts w:ascii="Arial" w:hAnsi="Arial"/>
          <w:i w:val="0"/>
          <w:sz w:val="20"/>
        </w:rPr>
        <w:t xml:space="preserve">GARCÍA DAMBORENEA, Ricardo, </w:t>
      </w:r>
      <w:r>
        <w:rPr>
          <w:rFonts w:ascii="Arial" w:hAnsi="Arial"/>
          <w:i/>
          <w:sz w:val="20"/>
        </w:rPr>
        <w:t>Diccionario de falacias</w:t>
      </w:r>
      <w:r>
        <w:rPr>
          <w:rFonts w:ascii="Arial" w:hAnsi="Arial"/>
          <w:i w:val="0"/>
          <w:sz w:val="20"/>
        </w:rPr>
        <w:t>, s. f.</w:t>
      </w:r>
    </w:p>
    <w:p>
      <w:pPr>
        <w:spacing w:after="60"/>
        <w:ind w:left="360" w:hanging="360"/>
        <w:jc w:val="both"/>
      </w:pPr>
      <w:r>
        <w:rPr>
          <w:rFonts w:ascii="Arial" w:hAnsi="Arial"/>
          <w:i w:val="0"/>
          <w:sz w:val="20"/>
        </w:rPr>
        <w:t xml:space="preserve">HERNÁNDEZ VALLE, Rubén, </w:t>
      </w:r>
      <w:r>
        <w:rPr>
          <w:rFonts w:ascii="Arial" w:hAnsi="Arial"/>
          <w:i/>
          <w:sz w:val="20"/>
        </w:rPr>
        <w:t>Derecho procesal constitucional y derecho convencional</w:t>
      </w:r>
      <w:r>
        <w:rPr>
          <w:rFonts w:ascii="Arial" w:hAnsi="Arial"/>
          <w:i w:val="0"/>
          <w:sz w:val="20"/>
        </w:rPr>
        <w:t>, Instituto de Estudios Constitucionales del Estado de Querétaro, México, 2021.</w:t>
      </w:r>
    </w:p>
    <w:sectPr w:rsidR="00FC693F" w:rsidRPr="0006063C" w:rsidSect="00034616">
      <w:footerReference w:type="default" r:id="rId9"/>
      <w:pgSz w:w="12246" w:h="19276"/>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rial" w:hAnsi="Arial"/>
        <w:sz w:val="20"/>
      </w:rPr>
      <w:t xml:space="preserve">Página </w:t>
    </w:r>
    <w:r>
      <w:rPr>
        <w:rFonts w:ascii="Arial" w:hAnsi="Arial"/>
        <w:sz w:val="20"/>
      </w:rPr>
      <w:fldChar w:fldCharType="begin"/>
      <w:instrText xml:space="preserve">PAGE</w:instrText>
      <w:fldChar w:fldCharType="end"/>
    </w:r>
    <w:r>
      <w:rPr>
        <w:rFonts w:ascii="Arial" w:hAnsi="Arial"/>
        <w:sz w:val="20"/>
      </w:rPr>
      <w:t xml:space="preserve"> de </w:t>
    </w:r>
    <w:r>
      <w:rPr>
        <w:rFonts w:ascii="Arial" w:hAnsi="Arial"/>
        <w:sz w:val="20"/>
      </w:rPr>
      <w:fldChar w:fldCharType="begin"/>
      <w:instrText xml:space="preserve">NUMPAGES</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