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RECHAZO DEL ESTÍMULO FISCAL DEL IVA EN LA FRONTERA NORTE SIN FIRMA ELECTRÓNICA</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Antes de llenarlo, entra al portal del SAT, verifica el folio del acuse en las tres alternativas del menú de autenticidad de documentos oficiales y guarda capturas de pantalla fechadas de cada intento: son la prueba central del concepto.</w:t>
      </w:r>
    </w:p>
    <w:p>
      <w:pPr>
        <w:spacing w:line="360" w:lineRule="auto"/>
        <w:jc w:val="both"/>
      </w:pPr>
      <w:r>
        <w:rPr>
          <w:rFonts w:ascii="Arial" w:hAnsi="Arial"/>
          <w:b w:val="0"/>
          <w:i w:val="0"/>
          <w:sz w:val="24"/>
        </w:rPr>
        <w:t>Si conoces el acuse (por ejemplo, porque lo descargaste del portal), indica en la demanda la fecha en que lo conociste y presenta este concepto desde el escrito inicial. Si el acuse sólo se generó en el portal, nunca te llegó por buzón tributario y no lo obtuviste, plantea la demanda manifestando bajo protesta de decir verdad que desconoces su contenido y notificación, y haz valer este concepto en la ampliación de la demanda, cuando la autoridad exhiba el acuse al contestar; en ese caso ajusta la fecha de conocimiento a la del traslado de la contestación. Verifica la numeración vigente de la regla de la Resolución Miscelánea Fiscal sobre comprobación de integridad y autoría.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[NÚMERO DE FOLIO DEL ACUSE DE RESPUESTA]</w:t>
      </w:r>
      <w:r>
        <w:rPr>
          <w:rFonts w:ascii="Arial" w:hAnsi="Arial"/>
          <w:b w:val="0"/>
          <w:i w:val="0"/>
          <w:sz w:val="24"/>
        </w:rPr>
        <w:t>: el folio completo que aparece en el acuse generado por el portal del SAT.</w:t>
      </w:r>
    </w:p>
    <w:p>
      <w:pPr>
        <w:spacing w:line="360" w:lineRule="auto"/>
        <w:jc w:val="both"/>
      </w:pPr>
      <w:r>
        <w:rPr>
          <w:rFonts w:ascii="Arial" w:hAnsi="Arial"/>
          <w:b/>
          <w:i w:val="0"/>
          <w:sz w:val="24"/>
        </w:rPr>
        <w:t>[FECHA DE EMISIÓN DEL ACUSE DE RESPUESTA]</w:t>
      </w:r>
      <w:r>
        <w:rPr>
          <w:rFonts w:ascii="Arial" w:hAnsi="Arial"/>
          <w:b w:val="0"/>
          <w:i w:val="0"/>
          <w:sz w:val="24"/>
        </w:rPr>
        <w:t>: la fecha que consigna el propio acuse.</w:t>
      </w:r>
    </w:p>
    <w:p>
      <w:pPr>
        <w:spacing w:line="360" w:lineRule="auto"/>
        <w:jc w:val="both"/>
      </w:pPr>
      <w:r>
        <w:rPr>
          <w:rFonts w:ascii="Arial" w:hAnsi="Arial"/>
          <w:b/>
          <w:i w:val="0"/>
          <w:sz w:val="24"/>
        </w:rPr>
        <w:t>[AUTORIDAD DEMANDADA]</w:t>
      </w:r>
      <w:r>
        <w:rPr>
          <w:rFonts w:ascii="Arial" w:hAnsi="Arial"/>
          <w:b w:val="0"/>
          <w:i w:val="0"/>
          <w:sz w:val="24"/>
        </w:rPr>
        <w:t>: la unidad administrativa del SAT a la que atribuyes el acto, con su denominación completa (por ejemplo, la Administración Desconcentrada de Auditoría Fiscal de tu circunscripción).</w:t>
      </w:r>
    </w:p>
    <w:p>
      <w:pPr>
        <w:spacing w:line="360" w:lineRule="auto"/>
        <w:jc w:val="both"/>
      </w:pPr>
      <w:r>
        <w:rPr>
          <w:rFonts w:ascii="Arial" w:hAnsi="Arial"/>
          <w:b/>
          <w:i w:val="0"/>
          <w:sz w:val="24"/>
        </w:rPr>
        <w:t>[NOMBRE DE LA PARTE ACTORA]</w:t>
      </w:r>
      <w:r>
        <w:rPr>
          <w:rFonts w:ascii="Arial" w:hAnsi="Arial"/>
          <w:b w:val="0"/>
          <w:i w:val="0"/>
          <w:sz w:val="24"/>
        </w:rPr>
        <w:t>: nombre o razón social de la contribuyente que presentó el aviso.</w:t>
      </w:r>
    </w:p>
    <w:p>
      <w:pPr>
        <w:spacing w:line="360" w:lineRule="auto"/>
        <w:jc w:val="both"/>
      </w:pPr>
      <w:r>
        <w:rPr>
          <w:rFonts w:ascii="Arial" w:hAnsi="Arial"/>
          <w:b/>
          <w:i w:val="0"/>
          <w:sz w:val="24"/>
        </w:rPr>
        <w:t>[FECHA DE PRESENTACIÓN DEL AVISO]</w:t>
      </w:r>
      <w:r>
        <w:rPr>
          <w:rFonts w:ascii="Arial" w:hAnsi="Arial"/>
          <w:b w:val="0"/>
          <w:i w:val="0"/>
          <w:sz w:val="24"/>
        </w:rPr>
        <w:t>: fecha en que se presentó el aviso para aplicar el estímulo fiscal.</w:t>
      </w:r>
    </w:p>
    <w:p>
      <w:pPr>
        <w:spacing w:line="360" w:lineRule="auto"/>
        <w:jc w:val="both"/>
      </w:pPr>
      <w:r>
        <w:rPr>
          <w:rFonts w:ascii="Arial" w:hAnsi="Arial"/>
          <w:b/>
          <w:i w:val="0"/>
          <w:sz w:val="24"/>
        </w:rPr>
        <w:t>[FUNDAMENTOS INVOCADOS EN EL ACUSE DE RESPUESTA]</w:t>
      </w:r>
      <w:r>
        <w:rPr>
          <w:rFonts w:ascii="Arial" w:hAnsi="Arial"/>
          <w:b w:val="0"/>
          <w:i w:val="0"/>
          <w:sz w:val="24"/>
        </w:rPr>
        <w:t>: los preceptos que el acuse cita como base del rechazo; cópialos textualmente.</w:t>
      </w:r>
    </w:p>
    <w:p>
      <w:pPr>
        <w:spacing w:line="360" w:lineRule="auto"/>
        <w:jc w:val="both"/>
      </w:pPr>
      <w:r>
        <w:rPr>
          <w:rFonts w:ascii="Arial" w:hAnsi="Arial"/>
          <w:b/>
          <w:i w:val="0"/>
          <w:sz w:val="24"/>
        </w:rPr>
        <w:t>[FECHA EN QUE SE CONOCIÓ EL ACUSE DE RESPUESTA]</w:t>
      </w:r>
      <w:r>
        <w:rPr>
          <w:rFonts w:ascii="Arial" w:hAnsi="Arial"/>
          <w:b w:val="0"/>
          <w:i w:val="0"/>
          <w:sz w:val="24"/>
        </w:rPr>
        <w:t>: día en que la contribuyente tuvo conocimiento real del documento (si demandaste por desconocimiento, la fecha en que se te corrió traslado con la contestación y sus anexos).</w:t>
      </w:r>
    </w:p>
    <w:p>
      <w:pPr>
        <w:spacing w:line="360" w:lineRule="auto"/>
        <w:jc w:val="both"/>
      </w:pPr>
      <w:r>
        <w:rPr>
          <w:rFonts w:ascii="Arial" w:hAnsi="Arial"/>
          <w:b/>
          <w:i w:val="0"/>
          <w:sz w:val="24"/>
        </w:rPr>
        <w:t>[REGLA VIGENTE DE LA RESOLUCIÓN MISCELÁNEA FISCAL SOBRE INTEGRIDAD Y AUTORÍA]</w:t>
      </w:r>
      <w:r>
        <w:rPr>
          <w:rFonts w:ascii="Arial" w:hAnsi="Arial"/>
          <w:b w:val="0"/>
          <w:i w:val="0"/>
          <w:sz w:val="24"/>
        </w:rPr>
        <w:t>: número de la regla de la Resolución Miscelánea Fiscal en vigor que regula el medio de comprobación de integridad y autoría de documentos firmados con e.firma o sello digital (en la Resolución para 2023 era la regla 2.9.3).</w:t>
      </w:r>
    </w:p>
    <w:p>
      <w:pPr>
        <w:spacing w:line="360" w:lineRule="auto"/>
        <w:jc w:val="both"/>
      </w:pPr>
      <w:r>
        <w:rPr>
          <w:rFonts w:ascii="Arial" w:hAnsi="Arial"/>
          <w:b/>
          <w:i w:val="0"/>
          <w:sz w:val="24"/>
        </w:rPr>
        <w:t>[FECHA DE LA VERIFICACIÓN EN EL PORTAL DEL SAT]</w:t>
      </w:r>
      <w:r>
        <w:rPr>
          <w:rFonts w:ascii="Arial" w:hAnsi="Arial"/>
          <w:b w:val="0"/>
          <w:i w:val="0"/>
          <w:sz w:val="24"/>
        </w:rPr>
        <w:t>: fecha en que realizaste la verificación cuyas capturas ofreces como prueba.</w:t>
      </w:r>
    </w:p>
    <w:p/>
    <w:p>
      <w:pPr>
        <w:spacing w:line="360" w:lineRule="auto"/>
        <w:jc w:val="both"/>
      </w:pPr>
      <w:r>
        <w:rPr>
          <w:rFonts w:ascii="Arial" w:hAnsi="Arial"/>
          <w:b/>
          <w:sz w:val="28"/>
        </w:rPr>
        <w:t>[NÚMERO ORDINAL DEL CONCEPTO] CONCEPTO DE IMPUGNACIÓN. Ausencia de firma electrónica avanzada del funcionario competente en el «Acuse de respuesta» que rechazó el aviso para aplicar el estímulo fiscal del impuesto al valor agregado en la región fronteriza norte. El acto consta en documento digital y es una resolución definitiva, por lo que debía contener la firma exigida por los artículos 17-D, primer párrafo, y 38, fracción V, del Código Fiscal de la Federación; al no poder comprobarse su autoría, se actualiza la causal del artículo 51, fracción II, de la Ley Federal de Procedimiento Contencioso Administrativo.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el documento denominado </w:t>
      </w:r>
      <w:r>
        <w:rPr>
          <w:rFonts w:ascii="Arial" w:hAnsi="Arial"/>
          <w:b w:val="0"/>
          <w:i/>
          <w:sz w:val="28"/>
        </w:rPr>
        <w:t>«Acuse de respuesta al aviso para el estímulo fiscal para la región fronteriza»</w:t>
      </w:r>
      <w:r>
        <w:rPr>
          <w:rFonts w:ascii="Arial" w:hAnsi="Arial"/>
          <w:b w:val="0"/>
          <w:i w:val="0"/>
          <w:sz w:val="28"/>
        </w:rPr>
        <w:t xml:space="preserve">, identificado con el folio </w:t>
      </w:r>
      <w:r>
        <w:rPr>
          <w:rFonts w:ascii="Arial" w:hAnsi="Arial"/>
          <w:b/>
          <w:i w:val="0"/>
          <w:sz w:val="28"/>
        </w:rPr>
        <w:t>[NÚMERO DE FOLIO DEL ACUSE DE RESPUESTA]</w:t>
      </w:r>
      <w:r>
        <w:rPr>
          <w:rFonts w:ascii="Arial" w:hAnsi="Arial"/>
          <w:b w:val="0"/>
          <w:i w:val="0"/>
          <w:sz w:val="28"/>
        </w:rPr>
        <w:t xml:space="preserve">, generado el </w:t>
      </w:r>
      <w:r>
        <w:rPr>
          <w:rFonts w:ascii="Arial" w:hAnsi="Arial"/>
          <w:b/>
          <w:i w:val="0"/>
          <w:sz w:val="28"/>
        </w:rPr>
        <w:t>[FECHA DE EMISIÓN DEL ACUSE DE RESPUESTA]</w:t>
      </w:r>
      <w:r>
        <w:rPr>
          <w:rFonts w:ascii="Arial" w:hAnsi="Arial"/>
          <w:b w:val="0"/>
          <w:i w:val="0"/>
          <w:sz w:val="28"/>
        </w:rPr>
        <w:t xml:space="preserve"> y atribuido a la </w:t>
      </w:r>
      <w:r>
        <w:rPr>
          <w:rFonts w:ascii="Arial" w:hAnsi="Arial"/>
          <w:b/>
          <w:i w:val="0"/>
          <w:sz w:val="28"/>
        </w:rPr>
        <w:t>[AUTORIDAD DEMANDADA]</w:t>
      </w:r>
      <w:r>
        <w:rPr>
          <w:rFonts w:ascii="Arial" w:hAnsi="Arial"/>
          <w:b w:val="0"/>
          <w:i w:val="0"/>
          <w:sz w:val="28"/>
        </w:rPr>
        <w:t xml:space="preserve">, mediante el cual se rechazó la solicitud de </w:t>
      </w:r>
      <w:r>
        <w:rPr>
          <w:rFonts w:ascii="Arial" w:hAnsi="Arial"/>
          <w:b/>
          <w:i w:val="0"/>
          <w:sz w:val="28"/>
        </w:rPr>
        <w:t>[NOMBRE DE LA PARTE ACTORA]</w:t>
      </w:r>
      <w:r>
        <w:rPr>
          <w:rFonts w:ascii="Arial" w:hAnsi="Arial"/>
          <w:b w:val="0"/>
          <w:i w:val="0"/>
          <w:sz w:val="28"/>
        </w:rPr>
        <w:t xml:space="preserve"> para inscribirse en el padrón de beneficiarios del estímulo fiscal del impuesto al valor agregado en la región fronteriza norte, no contiene la firma electrónica avanzada del funcionario competente.</w:t>
      </w:r>
    </w:p>
    <w:p>
      <w:pPr>
        <w:spacing w:line="360" w:lineRule="auto"/>
        <w:jc w:val="both"/>
      </w:pPr>
      <w:r>
        <w:rPr>
          <w:rFonts w:ascii="Arial" w:hAnsi="Arial"/>
          <w:b w:val="0"/>
          <w:i w:val="0"/>
          <w:sz w:val="28"/>
        </w:rPr>
        <w:t>La demostración parte de dos premisas verificables. La primera es que ese acuse, cualquiera que sea el nombre que el sistema le asigne, constituye la manifestación final de la voluntad de la autoridad fiscal sobre la petición de la parte actora y produce consecuencias directas en su esfera jurídica; se trata, por tanto, de una resolución definitiva que causa agravio en materia fiscal, en términos del artículo 3, fracción V, de la Ley Orgánica del Tribunal Federal de Justicia Administrativa.</w:t>
      </w:r>
    </w:p>
    <w:p>
      <w:pPr>
        <w:spacing w:line="360" w:lineRule="auto"/>
        <w:jc w:val="both"/>
      </w:pPr>
      <w:r>
        <w:rPr>
          <w:rFonts w:ascii="Arial" w:hAnsi="Arial"/>
          <w:b w:val="0"/>
          <w:i w:val="0"/>
          <w:sz w:val="28"/>
        </w:rPr>
        <w:t>La segunda premisa es que el acuse consta en un documento digital, de modo que sólo puede existir como acto de autoridad si ostenta la firma electrónica avanzada del funcionario competente, según lo ordenan los artículos 17-D, primer párrafo, y 38, fracción V, del Código Fiscal de la Federación.</w:t>
      </w:r>
    </w:p>
    <w:p>
      <w:pPr>
        <w:spacing w:line="360" w:lineRule="auto"/>
        <w:jc w:val="both"/>
      </w:pPr>
      <w:r>
        <w:rPr>
          <w:rFonts w:ascii="Arial" w:hAnsi="Arial"/>
          <w:b w:val="0"/>
          <w:i w:val="0"/>
          <w:sz w:val="28"/>
        </w:rPr>
        <w:t>La parte actora niega lisa y llanamente que el documento contenga esa firma; con ello, la carga de la prueba se traslada a la autoridad demandada, que deberá acreditar la integridad y la autoría del acto con los mecanismos que el propio Servicio de Administración Tributaria establece. Como se expondrá, esa comprobación no es posible, así que el acto carece de autenticidad y debe declararse nulo.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cuya nulidad se demanda es el </w:t>
      </w:r>
      <w:r>
        <w:rPr>
          <w:rFonts w:ascii="Arial" w:hAnsi="Arial"/>
          <w:b w:val="0"/>
          <w:i/>
          <w:sz w:val="28"/>
        </w:rPr>
        <w:t>«Acuse de respuesta al aviso para el estímulo fiscal para la región fronteriza»</w:t>
      </w:r>
      <w:r>
        <w:rPr>
          <w:rFonts w:ascii="Arial" w:hAnsi="Arial"/>
          <w:b w:val="0"/>
          <w:i w:val="0"/>
          <w:sz w:val="28"/>
        </w:rPr>
        <w:t xml:space="preserve"> con folio </w:t>
      </w:r>
      <w:r>
        <w:rPr>
          <w:rFonts w:ascii="Arial" w:hAnsi="Arial"/>
          <w:b/>
          <w:i w:val="0"/>
          <w:sz w:val="28"/>
        </w:rPr>
        <w:t>[NÚMERO DE FOLIO DEL ACUSE DE RESPUESTA]</w:t>
      </w:r>
      <w:r>
        <w:rPr>
          <w:rFonts w:ascii="Arial" w:hAnsi="Arial"/>
          <w:b w:val="0"/>
          <w:i w:val="0"/>
          <w:sz w:val="28"/>
        </w:rPr>
        <w:t xml:space="preserve">, que recayó al aviso presentado por la parte actora el </w:t>
      </w:r>
      <w:r>
        <w:rPr>
          <w:rFonts w:ascii="Arial" w:hAnsi="Arial"/>
          <w:b/>
          <w:i w:val="0"/>
          <w:sz w:val="28"/>
        </w:rPr>
        <w:t>[FECHA DE PRESENTACIÓN DEL AVISO]</w:t>
      </w:r>
      <w:r>
        <w:rPr>
          <w:rFonts w:ascii="Arial" w:hAnsi="Arial"/>
          <w:b w:val="0"/>
          <w:i w:val="0"/>
          <w:sz w:val="28"/>
        </w:rPr>
        <w:t xml:space="preserve"> para aplicar el estímulo fiscal del impuesto al valor agregado en la región fronteriza norte. En ese acuse la autoridad informó que, conforme a la revisión de sus sistemas institucionales, el aviso no resultó procedente con apoyo en </w:t>
      </w:r>
      <w:r>
        <w:rPr>
          <w:rFonts w:ascii="Arial" w:hAnsi="Arial"/>
          <w:b/>
          <w:i w:val="0"/>
          <w:sz w:val="28"/>
        </w:rPr>
        <w:t>[FUNDAMENTOS INVOCADOS EN EL ACUSE DE RESPUESTA]</w:t>
      </w:r>
      <w:r>
        <w:rPr>
          <w:rFonts w:ascii="Arial" w:hAnsi="Arial"/>
          <w:b w:val="0"/>
          <w:i w:val="0"/>
          <w:sz w:val="28"/>
        </w:rPr>
        <w:t>, y rechazó la inscripción en el padrón de beneficiarios.</w:t>
      </w:r>
    </w:p>
    <w:p>
      <w:pPr>
        <w:spacing w:line="360" w:lineRule="auto"/>
        <w:jc w:val="both"/>
      </w:pPr>
      <w:r>
        <w:rPr>
          <w:rFonts w:ascii="Arial" w:hAnsi="Arial"/>
          <w:b w:val="0"/>
          <w:i w:val="0"/>
          <w:sz w:val="28"/>
        </w:rPr>
        <w:t xml:space="preserve">La parte actora tuvo conocimiento de ese documento el </w:t>
      </w:r>
      <w:r>
        <w:rPr>
          <w:rFonts w:ascii="Arial" w:hAnsi="Arial"/>
          <w:b/>
          <w:i w:val="0"/>
          <w:sz w:val="28"/>
        </w:rPr>
        <w:t>[FECHA EN QUE SE CONOCIÓ EL ACUSE DE RESPUESTA]</w:t>
      </w:r>
      <w:r>
        <w:rPr>
          <w:rFonts w:ascii="Arial" w:hAnsi="Arial"/>
          <w:b w:val="0"/>
          <w:i w:val="0"/>
          <w:sz w:val="28"/>
        </w:rPr>
        <w:t>, fecha que se manifiesta para los efectos del artículo 16, fracción I, de la Ley Federal de Procedimiento Contencioso Administrativo, pues sólo quien conoce el acuse puede afirmar que carece de firma.</w:t>
      </w:r>
    </w:p>
    <w:p>
      <w:pPr>
        <w:spacing w:line="360" w:lineRule="auto"/>
        <w:jc w:val="both"/>
      </w:pPr>
      <w:r>
        <w:rPr>
          <w:rFonts w:ascii="Arial" w:hAnsi="Arial"/>
          <w:b w:val="0"/>
          <w:i w:val="0"/>
          <w:sz w:val="28"/>
        </w:rPr>
        <w:t>Si, como suele ocurrir con estos acuses, el archivo sólo se generó en el portal del Servicio de Administración Tributaria sin notificación a través del buzón tributario y la parte actora no lo obtuvo, la demanda se plantea en términos de la fracción II del mismo precepto, manifestando bajo protesta de decir verdad que se desconocen su contenido y su notificación; en ese caso, este concepto se hace valer en la ampliación de la demanda, una vez que la autoridad exhiba el acuse al contestar.</w:t>
      </w:r>
    </w:p>
    <w:p>
      <w:pPr>
        <w:spacing w:line="360" w:lineRule="auto"/>
        <w:jc w:val="both"/>
      </w:pPr>
      <w:r>
        <w:rPr>
          <w:rFonts w:ascii="Arial" w:hAnsi="Arial"/>
          <w:b w:val="0"/>
          <w:i w:val="0"/>
          <w:sz w:val="28"/>
        </w:rPr>
        <w:t>En ese supuesto la autoridad queda obligada a exhibir la resolución y las constancias de su notificación, y la sola fecha de emisión del acuse no demuestra que la contribuyente lo haya conocido.</w:t>
      </w:r>
    </w:p>
    <w:p>
      <w:pPr>
        <w:spacing w:line="360" w:lineRule="auto"/>
        <w:jc w:val="both"/>
      </w:pPr>
      <w:r>
        <w:rPr>
          <w:rFonts w:ascii="Arial" w:hAnsi="Arial"/>
          <w:b w:val="0"/>
          <w:i w:val="0"/>
          <w:sz w:val="28"/>
        </w:rPr>
        <w:t>Las normas cuya inobservancia se plantea son el artículo 38, fracción V, del Código Fiscal de la Federación, que exige que las resoluciones administrativas que consten en documentos digitales contengan la firma electrónica avanzada del funcionario competente, con el mismo valor que la autógrafa; el artículo 17-D, primer párrafo, del mismo código, que impone a los documentos digitales la firma electrónica avanzada de su autor; y el artículo 16, primer párrafo, constitucional, conforme al cual todo acto de molestia debe provenir de autoridad competente mediante mandamiento que funde y motive la causa legal del procedimiento.</w:t>
      </w:r>
    </w:p>
    <w:p>
      <w:pPr>
        <w:spacing w:line="360" w:lineRule="auto"/>
        <w:jc w:val="both"/>
      </w:pPr>
      <w:r>
        <w:rPr>
          <w:rFonts w:ascii="Arial" w:hAnsi="Arial"/>
          <w:b w:val="0"/>
          <w:i w:val="0"/>
          <w:sz w:val="28"/>
        </w:rPr>
        <w:t>El perjuicio es concreto e inmediato. Con un documento que ninguna persona servidora pública suscribió, se niega a la parte actora el acceso al estímulo fiscal y su inscripción en el padrón de beneficiarios, lo que le impide aplicar el beneficio y la coloca en desventaja frente a los demás contribuyentes de la región que sí gozan de él. De prosperar este concepto, el acto queda privado de existencia jurídica por ausencia de voluntad de la autoridad; por eso se solicita su estudio preferente respecto de los conceptos dirigidos contra los motivos del rechazo.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fijar, en primer término, la naturaleza del acto. El artículo 3 de la Ley Orgánica del Tribunal Federal de Justicia Administrativa dispone que el Tribunal conocerá de los juicios promovidos contra resoluciones definitivas, y su penúltimo párrafo aclara que las resoluciones se consideran definitivas cuando no admiten recurso administrativo o cuando la interposición de éste es optativa. La fracción V del propio precepto abre la competencia a las resoluciones que causen un agravio en materia fiscal distinto de los enumerados en las fracciones anteriores.</w:t>
      </w:r>
    </w:p>
    <w:p>
      <w:pPr>
        <w:spacing w:line="360" w:lineRule="auto"/>
        <w:jc w:val="both"/>
      </w:pPr>
      <w:r>
        <w:rPr>
          <w:rFonts w:ascii="Arial" w:hAnsi="Arial"/>
          <w:b w:val="0"/>
          <w:i w:val="0"/>
          <w:sz w:val="28"/>
        </w:rPr>
        <w:t xml:space="preserve">Como lo ha reconocido la Sala en casos análogos, el acuse de respuesta que rechaza una solicitud del contribuyente es, con independencia de la denominación que se le haya dado, una resolución definitiva cuando contiene la manifestación final de la voluntad de la autoridad y produce consecuencias jurídicas directas en la esfera de quien la formuló. La palabra </w:t>
      </w:r>
      <w:r>
        <w:rPr>
          <w:rFonts w:ascii="Arial" w:hAnsi="Arial"/>
          <w:b w:val="0"/>
          <w:i/>
          <w:sz w:val="28"/>
        </w:rPr>
        <w:t>«acuse»</w:t>
      </w:r>
      <w:r>
        <w:rPr>
          <w:rFonts w:ascii="Arial" w:hAnsi="Arial"/>
          <w:b w:val="0"/>
          <w:i w:val="0"/>
          <w:sz w:val="28"/>
        </w:rPr>
        <w:t xml:space="preserve"> es la etiqueta que asigna un sistema informático; lo que define al acto es su contenido: una decisión de rechazo, apoyada en preceptos legales, que cierra el trámite y priva a la persona solicitante de un beneficio fiscal.</w:t>
      </w:r>
    </w:p>
    <w:p>
      <w:pPr>
        <w:spacing w:line="360" w:lineRule="auto"/>
        <w:jc w:val="both"/>
      </w:pPr>
      <w:r>
        <w:rPr>
          <w:rFonts w:ascii="Arial" w:hAnsi="Arial"/>
          <w:b w:val="0"/>
          <w:i w:val="0"/>
          <w:sz w:val="28"/>
        </w:rPr>
        <w:t xml:space="preserve">El propio legislador confirma que los actos en documento digital no escapan a las formalidades. El artículo 17-K, fracción I, del Código Fiscal de la Federación ordena que la autoridad realice por buzón tributario la notificación de </w:t>
      </w:r>
      <w:r>
        <w:rPr>
          <w:rFonts w:ascii="Arial" w:hAnsi="Arial"/>
          <w:b w:val="0"/>
          <w:i/>
          <w:sz w:val="28"/>
        </w:rPr>
        <w:t>«cualquier acto o resolución administrativa que emita, en documentos digitales, incluyendo cualquiera que pueda ser recurrido»</w:t>
      </w:r>
      <w:r>
        <w:rPr>
          <w:rFonts w:ascii="Arial" w:hAnsi="Arial"/>
          <w:b w:val="0"/>
          <w:i w:val="0"/>
          <w:sz w:val="28"/>
        </w:rPr>
        <w:t>. Si todo acto digital debe notificarse formalmente, con mayor razón debe reunir los requisitos de existencia que el artículo 38 del mismo código impone a los actos que se deben notificar.</w:t>
      </w:r>
    </w:p>
    <w:p>
      <w:pPr>
        <w:spacing w:line="360" w:lineRule="auto"/>
        <w:jc w:val="both"/>
      </w:pPr>
      <w:r>
        <w:rPr>
          <w:rFonts w:ascii="Arial" w:hAnsi="Arial"/>
          <w:b w:val="0"/>
          <w:i w:val="0"/>
          <w:sz w:val="28"/>
        </w:rPr>
        <w:t>Establecido que el acuse es una resolución definitiva, sigue el requisito cuya ausencia se denuncia. El artículo 38, fracción V, del Código Fiscal de la Federación exige que los actos administrativos ostenten la firma del funcionario competente y que, cuando consten en documentos digitales, contengan la firma electrónica avanzada de ese funcionario, la cual tendrá el mismo valor que la firma autógrafa.</w:t>
      </w:r>
    </w:p>
    <w:p>
      <w:pPr>
        <w:spacing w:line="360" w:lineRule="auto"/>
        <w:jc w:val="both"/>
      </w:pPr>
      <w:r>
        <w:rPr>
          <w:rFonts w:ascii="Arial" w:hAnsi="Arial"/>
          <w:b w:val="0"/>
          <w:i w:val="0"/>
          <w:sz w:val="28"/>
        </w:rPr>
        <w:t>Sus párrafos tercero a quinto añaden que el sello generado con esa firma y amparado por un certificado vigente produce los mismos efectos que la firma autógrafa, y que la integridad y autoría del documento podrán comprobarse por los medios que el Servicio de Administración Tributaria establezca. La ley, pues, no sólo exige la firma: también garantiza a la persona contribuyente un medio para constatar que existe.</w:t>
      </w:r>
    </w:p>
    <w:p>
      <w:pPr>
        <w:spacing w:line="360" w:lineRule="auto"/>
        <w:jc w:val="both"/>
      </w:pPr>
      <w:r>
        <w:rPr>
          <w:rFonts w:ascii="Arial" w:hAnsi="Arial"/>
          <w:b w:val="0"/>
          <w:i w:val="0"/>
          <w:sz w:val="28"/>
        </w:rPr>
        <w:t>La doctrina describe la firma electrónica como un conjunto de caracteres técnicos y matemáticos generados por medios electrónicos, al que la ley otorga los mismos efectos jurídicos que a la firma autógrafa.</w:t>
      </w:r>
      <w:r>
        <w:rPr>
          <w:rFonts w:ascii="Arial" w:hAnsi="Arial"/>
          <w:vertAlign w:val="superscript"/>
        </w:rPr>
        <w:t>1</w:t>
      </w:r>
      <w:r>
        <w:rPr>
          <w:rFonts w:ascii="Arial" w:hAnsi="Arial"/>
          <w:b w:val="0"/>
          <w:i w:val="0"/>
          <w:sz w:val="28"/>
        </w:rPr>
        <w:t xml:space="preserve"> Esa equivalencia no es una cortesía tecnológica: la firma, autógrafa o electrónica, es el único signo por el que un órgano del Estado hace suyo el contenido de un documento y expresa su voluntad de producir consecuencias jurídicas. Sin ella, lo que existe es un archivo, no un acto de autoridad.</w:t>
      </w:r>
    </w:p>
    <w:p>
      <w:pPr>
        <w:spacing w:line="360" w:lineRule="auto"/>
        <w:jc w:val="both"/>
      </w:pPr>
      <w:r>
        <w:rPr>
          <w:rFonts w:ascii="Arial" w:hAnsi="Arial"/>
          <w:b w:val="0"/>
          <w:i w:val="0"/>
          <w:sz w:val="28"/>
        </w:rPr>
        <w:t>Lo anterior enlaza con el artículo 16, primer párrafo, constitucional, que sólo permite molestar a las personas en virtud de mandamiento escrito de autoridad competente que funde y motive la causa legal del procedimiento. La doctrina destaca que esa garantía regula con precisión los requisitos del mandamiento de autoridad: que provenga de autoridad investida de competencia y que conste por escrito con fundamento en una norma general.</w:t>
      </w:r>
      <w:r>
        <w:rPr>
          <w:rFonts w:ascii="Arial" w:hAnsi="Arial"/>
          <w:vertAlign w:val="superscript"/>
        </w:rPr>
        <w:t>2</w:t>
      </w:r>
      <w:r>
        <w:rPr>
          <w:rFonts w:ascii="Arial" w:hAnsi="Arial"/>
          <w:b w:val="0"/>
          <w:i w:val="0"/>
          <w:sz w:val="28"/>
        </w:rPr>
        <w:t xml:space="preserve"> La firma del funcionario competente enlaza ambos requisitos: identifica al autor, acredita su competencia y lo vincula con el contenido del acto.</w:t>
      </w:r>
    </w:p>
    <w:p>
      <w:pPr>
        <w:spacing w:line="360" w:lineRule="auto"/>
        <w:jc w:val="both"/>
      </w:pPr>
      <w:r>
        <w:rPr>
          <w:rFonts w:ascii="Arial" w:hAnsi="Arial"/>
          <w:b w:val="0"/>
          <w:i w:val="0"/>
          <w:sz w:val="28"/>
        </w:rPr>
        <w:t xml:space="preserve">Para que la exigencia no sea ilusoria, el sistema fiscal prevé mecanismos públicos de comprobación. La regla de la Resolución Miscelánea Fiscal sobre el medio de comprobación de integridad y autoría de documentos firmados con la firma electrónica del funcionario competente o con sello digital, identificada en la resolución vigente como </w:t>
      </w:r>
      <w:r>
        <w:rPr>
          <w:rFonts w:ascii="Arial" w:hAnsi="Arial"/>
          <w:b/>
          <w:i w:val="0"/>
          <w:sz w:val="28"/>
        </w:rPr>
        <w:t>[REGLA VIGENTE DE LA RESOLUCIÓN MISCELÁNEA FISCAL SOBRE INTEGRIDAD Y AUTORÍA]</w:t>
      </w:r>
      <w:r>
        <w:rPr>
          <w:rFonts w:ascii="Arial" w:hAnsi="Arial"/>
          <w:b w:val="0"/>
          <w:i w:val="0"/>
          <w:sz w:val="28"/>
        </w:rPr>
        <w:t>, permite verificar el documento mediante la lectura de su código de respuesta rápida o a través del portal del Servicio de Administración Tributaria.</w:t>
      </w:r>
    </w:p>
    <w:p>
      <w:pPr>
        <w:spacing w:line="360" w:lineRule="auto"/>
        <w:jc w:val="both"/>
      </w:pPr>
      <w:r>
        <w:rPr>
          <w:rFonts w:ascii="Arial" w:hAnsi="Arial"/>
          <w:b w:val="0"/>
          <w:i w:val="0"/>
          <w:sz w:val="28"/>
        </w:rPr>
        <w:t xml:space="preserve">En el portal, la verificación se realiza en la opción </w:t>
      </w:r>
      <w:r>
        <w:rPr>
          <w:rFonts w:ascii="Arial" w:hAnsi="Arial"/>
          <w:b w:val="0"/>
          <w:i/>
          <w:sz w:val="28"/>
        </w:rPr>
        <w:t>«Otros trámites y servicios»</w:t>
      </w:r>
      <w:r>
        <w:rPr>
          <w:rFonts w:ascii="Arial" w:hAnsi="Arial"/>
          <w:b w:val="0"/>
          <w:i w:val="0"/>
          <w:sz w:val="28"/>
        </w:rPr>
        <w:t xml:space="preserve">, menú </w:t>
      </w:r>
      <w:r>
        <w:rPr>
          <w:rFonts w:ascii="Arial" w:hAnsi="Arial"/>
          <w:b w:val="0"/>
          <w:i/>
          <w:sz w:val="28"/>
        </w:rPr>
        <w:t>«Autenticidad de documentos oficiales y personal del SAT»</w:t>
      </w:r>
      <w:r>
        <w:rPr>
          <w:rFonts w:ascii="Arial" w:hAnsi="Arial"/>
          <w:b w:val="0"/>
          <w:i w:val="0"/>
          <w:sz w:val="28"/>
        </w:rPr>
        <w:t>, que ofrece tres alternativas: documentos firmados electrónicamente notificados de forma personal, documentos notificados de forma electrónica y documentos firmados con la firma electrónica o sello digital de los funcionarios competentes. Al utilizar cualquiera de ellas, el sistema debe mostrar la clave en el registro federal de contribuyentes de la persona destinataria y el documento original con la firma o el sello de su autor.</w:t>
      </w:r>
    </w:p>
    <w:p>
      <w:pPr>
        <w:spacing w:line="360" w:lineRule="auto"/>
        <w:jc w:val="both"/>
      </w:pPr>
      <w:r>
        <w:rPr>
          <w:rFonts w:ascii="Arial" w:hAnsi="Arial"/>
          <w:b w:val="0"/>
          <w:i w:val="0"/>
          <w:sz w:val="28"/>
        </w:rPr>
        <w:t>Cuando ninguno de esos mecanismos permite comprobar la integridad y la autoría del documento, la conclusión jurídica es una sola: no está acreditado que el acto contenga la firma electrónica avanzada de funcionario competente alguno y, por ende, no existe a ciencia cierta la voluntad de la autoridad de emitirlo. Así lo ha concluido la Sala en casos análogos, al ejecutar por sí misma las tres verificaciones del portal.</w:t>
      </w:r>
    </w:p>
    <w:p>
      <w:pPr>
        <w:spacing w:line="360" w:lineRule="auto"/>
        <w:jc w:val="both"/>
      </w:pPr>
      <w:r>
        <w:rPr>
          <w:rFonts w:ascii="Arial" w:hAnsi="Arial"/>
          <w:b w:val="0"/>
          <w:i w:val="0"/>
          <w:sz w:val="28"/>
        </w:rPr>
        <w:t>Resta precisar a quién corresponde probar. El artículo 68 del Código Fiscal de la Federación establece la presunción de legalidad de los actos de las autoridades fiscales, pero exceptúa de ella los hechos que motivan el acto cuando la persona afectada los niega lisa y llanamente, supuesto en el cual la autoridad debe probarlos.</w:t>
      </w:r>
    </w:p>
    <w:p>
      <w:pPr>
        <w:spacing w:line="360" w:lineRule="auto"/>
        <w:jc w:val="both"/>
      </w:pPr>
      <w:r>
        <w:rPr>
          <w:rFonts w:ascii="Arial" w:hAnsi="Arial"/>
          <w:b w:val="0"/>
          <w:i w:val="0"/>
          <w:sz w:val="28"/>
        </w:rPr>
        <w:t>La doctrina procesal formula el principio en términos generales: quien afirma un hecho en el proceso debe probarlo, y no basta la sola declaración del funcionario para tener por acreditada la verdad de su dicho.</w:t>
      </w:r>
      <w:r>
        <w:rPr>
          <w:rFonts w:ascii="Arial" w:hAnsi="Arial"/>
          <w:vertAlign w:val="superscript"/>
        </w:rPr>
        <w:t>3</w:t>
      </w:r>
      <w:r>
        <w:rPr>
          <w:rFonts w:ascii="Arial" w:hAnsi="Arial"/>
          <w:b w:val="0"/>
          <w:i w:val="0"/>
          <w:sz w:val="28"/>
        </w:rPr>
        <w:t xml:space="preserve"> La negativa lisa y llana de que el documento ostenta firma electrónica avanzada obliga, pues, a la autoridad a exhibir la comprobación de integridad y autoría; su silencio o su mera afirmación en contrario equivalen a no probar.</w:t>
      </w:r>
    </w:p>
    <w:p>
      <w:pPr>
        <w:spacing w:line="360" w:lineRule="auto"/>
        <w:jc w:val="both"/>
      </w:pPr>
      <w:r>
        <w:rPr>
          <w:rFonts w:ascii="Arial" w:hAnsi="Arial"/>
          <w:b w:val="0"/>
          <w:i w:val="0"/>
          <w:sz w:val="28"/>
        </w:rPr>
        <w:t>Esa carga se refuerza cuando la demanda se promueve por desconocimiento del acto. El artículo 16, fracciones II y III, de la Ley Federal de Procedimiento Contencioso Administrativo obliga a la autoridad a acompañar, al contestar, constancia de la resolución y de su notificación, y ordena al Tribunal estudiar primero lo relativo a la notificación. Tratándose de un documento digital, la constancia idónea es el acuse de recibo del buzón tributario, que documenta la notificación ordenada por el artículo 17-K del código; su falta impide tener a la parte actora por sabedora del acto en la fecha de emisión.</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Los hechos encuadran con exactitud en la premisa expuesta. La parte actora presentó el </w:t>
      </w:r>
      <w:r>
        <w:rPr>
          <w:rFonts w:ascii="Arial" w:hAnsi="Arial"/>
          <w:b/>
          <w:i w:val="0"/>
          <w:sz w:val="28"/>
        </w:rPr>
        <w:t>[FECHA DE PRESENTACIÓN DEL AVISO]</w:t>
      </w:r>
      <w:r>
        <w:rPr>
          <w:rFonts w:ascii="Arial" w:hAnsi="Arial"/>
          <w:b w:val="0"/>
          <w:i w:val="0"/>
          <w:sz w:val="28"/>
        </w:rPr>
        <w:t xml:space="preserve"> el aviso para aplicar el estímulo fiscal del impuesto al valor agregado en la región fronteriza norte. El sistema del Servicio de Administración Tributaria generó el </w:t>
      </w:r>
      <w:r>
        <w:rPr>
          <w:rFonts w:ascii="Arial" w:hAnsi="Arial"/>
          <w:b/>
          <w:i w:val="0"/>
          <w:sz w:val="28"/>
        </w:rPr>
        <w:t>[FECHA DE EMISIÓN DEL ACUSE DE RESPUESTA]</w:t>
      </w:r>
      <w:r>
        <w:rPr>
          <w:rFonts w:ascii="Arial" w:hAnsi="Arial"/>
          <w:b w:val="0"/>
          <w:i w:val="0"/>
          <w:sz w:val="28"/>
        </w:rPr>
        <w:t xml:space="preserve"> el acuse con folio </w:t>
      </w:r>
      <w:r>
        <w:rPr>
          <w:rFonts w:ascii="Arial" w:hAnsi="Arial"/>
          <w:b/>
          <w:i w:val="0"/>
          <w:sz w:val="28"/>
        </w:rPr>
        <w:t>[NÚMERO DE FOLIO DEL ACUSE DE RESPUESTA]</w:t>
      </w:r>
      <w:r>
        <w:rPr>
          <w:rFonts w:ascii="Arial" w:hAnsi="Arial"/>
          <w:b w:val="0"/>
          <w:i w:val="0"/>
          <w:sz w:val="28"/>
        </w:rPr>
        <w:t xml:space="preserve">, en el que se informa que el aviso </w:t>
      </w:r>
      <w:r>
        <w:rPr>
          <w:rFonts w:ascii="Arial" w:hAnsi="Arial"/>
          <w:b w:val="0"/>
          <w:i/>
          <w:sz w:val="28"/>
        </w:rPr>
        <w:t>«no resultó procedente»</w:t>
      </w:r>
      <w:r>
        <w:rPr>
          <w:rFonts w:ascii="Arial" w:hAnsi="Arial"/>
          <w:b w:val="0"/>
          <w:i w:val="0"/>
          <w:sz w:val="28"/>
        </w:rPr>
        <w:t xml:space="preserve"> con apoyo en </w:t>
      </w:r>
      <w:r>
        <w:rPr>
          <w:rFonts w:ascii="Arial" w:hAnsi="Arial"/>
          <w:b/>
          <w:i w:val="0"/>
          <w:sz w:val="28"/>
        </w:rPr>
        <w:t>[FUNDAMENTOS INVOCADOS EN EL ACUSE DE RESPUESTA]</w:t>
      </w:r>
      <w:r>
        <w:rPr>
          <w:rFonts w:ascii="Arial" w:hAnsi="Arial"/>
          <w:b w:val="0"/>
          <w:i w:val="0"/>
          <w:sz w:val="28"/>
        </w:rPr>
        <w:t xml:space="preserve"> y se rechaza la inscripción en el padrón.</w:t>
      </w:r>
    </w:p>
    <w:p>
      <w:pPr>
        <w:spacing w:line="360" w:lineRule="auto"/>
        <w:jc w:val="both"/>
      </w:pPr>
      <w:r>
        <w:rPr>
          <w:rFonts w:ascii="Arial" w:hAnsi="Arial"/>
          <w:b w:val="0"/>
          <w:i w:val="0"/>
          <w:sz w:val="28"/>
        </w:rPr>
        <w:t xml:space="preserve">Ese documento decide la petición, la niega y cierra el trámite: es una resolución definitiva que causa agravio en materia fiscal. La parte actora niega lisa y llanamente que contenga la firma electrónica avanzada de funcionario competente alguno; niega que haya sido generado con un certificado vigente a la fecha de su emisión; y niega que exista cadena original o sello digital atribuible a una persona servidora pública identificada y facultada para resolver. Corresponde, pues, a la </w:t>
      </w:r>
      <w:r>
        <w:rPr>
          <w:rFonts w:ascii="Arial" w:hAnsi="Arial"/>
          <w:b/>
          <w:i w:val="0"/>
          <w:sz w:val="28"/>
        </w:rPr>
        <w:t>[AUTORIDAD DEMANDADA]</w:t>
      </w:r>
      <w:r>
        <w:rPr>
          <w:rFonts w:ascii="Arial" w:hAnsi="Arial"/>
          <w:b w:val="0"/>
          <w:i w:val="0"/>
          <w:sz w:val="28"/>
        </w:rPr>
        <w:t xml:space="preserve"> acreditar la integridad y la autoría del documento.</w:t>
      </w:r>
    </w:p>
    <w:p>
      <w:pPr>
        <w:spacing w:line="360" w:lineRule="auto"/>
        <w:jc w:val="both"/>
      </w:pPr>
      <w:r>
        <w:rPr>
          <w:rFonts w:ascii="Arial" w:hAnsi="Arial"/>
          <w:b w:val="0"/>
          <w:i w:val="0"/>
          <w:sz w:val="28"/>
        </w:rPr>
        <w:t xml:space="preserve">Esa comprobación no es posible. El </w:t>
      </w:r>
      <w:r>
        <w:rPr>
          <w:rFonts w:ascii="Arial" w:hAnsi="Arial"/>
          <w:b/>
          <w:i w:val="0"/>
          <w:sz w:val="28"/>
        </w:rPr>
        <w:t>[FECHA DE LA VERIFICACIÓN EN EL PORTAL DEL SAT]</w:t>
      </w:r>
      <w:r>
        <w:rPr>
          <w:rFonts w:ascii="Arial" w:hAnsi="Arial"/>
          <w:b w:val="0"/>
          <w:i w:val="0"/>
          <w:sz w:val="28"/>
        </w:rPr>
        <w:t xml:space="preserve">, la parte actora ingresó al portal del Servicio de Administración Tributaria, opción </w:t>
      </w:r>
      <w:r>
        <w:rPr>
          <w:rFonts w:ascii="Arial" w:hAnsi="Arial"/>
          <w:b w:val="0"/>
          <w:i/>
          <w:sz w:val="28"/>
        </w:rPr>
        <w:t>«Otros trámites y servicios»</w:t>
      </w:r>
      <w:r>
        <w:rPr>
          <w:rFonts w:ascii="Arial" w:hAnsi="Arial"/>
          <w:b w:val="0"/>
          <w:i w:val="0"/>
          <w:sz w:val="28"/>
        </w:rPr>
        <w:t xml:space="preserve">, menú </w:t>
      </w:r>
      <w:r>
        <w:rPr>
          <w:rFonts w:ascii="Arial" w:hAnsi="Arial"/>
          <w:b w:val="0"/>
          <w:i/>
          <w:sz w:val="28"/>
        </w:rPr>
        <w:t>«Autenticidad de documentos oficiales y personal del SAT»</w:t>
      </w:r>
      <w:r>
        <w:rPr>
          <w:rFonts w:ascii="Arial" w:hAnsi="Arial"/>
          <w:b w:val="0"/>
          <w:i w:val="0"/>
          <w:sz w:val="28"/>
        </w:rPr>
        <w:t>, y utilizó las tres alternativas de verificación, capturando tanto los primeros diez como los últimos diez dígitos del folio del acuse; en ninguna de ellas el sistema mostró el documento original con la firma electrónica o el sello digital de su autor.</w:t>
      </w:r>
    </w:p>
    <w:p>
      <w:pPr>
        <w:spacing w:line="360" w:lineRule="auto"/>
        <w:jc w:val="both"/>
      </w:pPr>
      <w:r>
        <w:rPr>
          <w:rFonts w:ascii="Arial" w:hAnsi="Arial"/>
          <w:b w:val="0"/>
          <w:i w:val="0"/>
          <w:sz w:val="28"/>
        </w:rPr>
        <w:t>Las capturas de pantalla de cada intento se ofrecen como prueba y, dado que el portal es de acceso público, se solicita a esta Sala que repita la verificación, como lo ha hecho en casos análogos.</w:t>
      </w:r>
    </w:p>
    <w:p>
      <w:pPr>
        <w:spacing w:line="360" w:lineRule="auto"/>
        <w:jc w:val="both"/>
      </w:pPr>
      <w:r>
        <w:rPr>
          <w:rFonts w:ascii="Arial" w:hAnsi="Arial"/>
          <w:b w:val="0"/>
          <w:i w:val="0"/>
          <w:sz w:val="28"/>
        </w:rPr>
        <w:t>La subsunción es directa. Se está ante una resolución definitiva que consta en documento digital; el artículo 38, fracción V, del Código Fiscal de la Federación exige que contenga la firma electrónica avanzada del funcionario competente; y esa firma no puede comprobarse por ninguno de los medios que la propia autoridad estableció para ello. El acto, por tanto, no expresa la voluntad de autoridad alguna, carece de autenticidad y no puede surtir efectos jurídicos, lo que actualiza la causal de nulidad del artículo 51, fracción II, de la Ley Federal de Procedimiento Contencioso Administrativo.</w:t>
      </w:r>
    </w:p>
    <w:p>
      <w:pPr>
        <w:spacing w:line="360" w:lineRule="auto"/>
        <w:jc w:val="both"/>
      </w:pPr>
      <w:r>
        <w:rPr>
          <w:rFonts w:ascii="Arial" w:hAnsi="Arial"/>
          <w:b w:val="0"/>
          <w:i w:val="0"/>
          <w:sz w:val="28"/>
        </w:rPr>
        <w:t xml:space="preserve">Frente a ello, la autoridad suele sostener que el acuse es una mera </w:t>
      </w:r>
      <w:r>
        <w:rPr>
          <w:rFonts w:ascii="Arial" w:hAnsi="Arial"/>
          <w:b w:val="0"/>
          <w:i/>
          <w:sz w:val="28"/>
        </w:rPr>
        <w:t>«orientación»</w:t>
      </w:r>
      <w:r>
        <w:rPr>
          <w:rFonts w:ascii="Arial" w:hAnsi="Arial"/>
          <w:b w:val="0"/>
          <w:i w:val="0"/>
          <w:sz w:val="28"/>
        </w:rPr>
        <w:t xml:space="preserve"> generada por un sistema de consulta, que no constituye una resolución determinante y que, por lo mismo, no está obligada a cumplir los requisitos del artículo 38 del código. El argumento es lógicamente inválido por tres razones.</w:t>
      </w:r>
    </w:p>
    <w:p>
      <w:pPr>
        <w:spacing w:line="360" w:lineRule="auto"/>
        <w:jc w:val="both"/>
      </w:pPr>
      <w:r>
        <w:rPr>
          <w:rFonts w:ascii="Arial" w:hAnsi="Arial"/>
          <w:b w:val="0"/>
          <w:i w:val="0"/>
          <w:sz w:val="28"/>
        </w:rPr>
        <w:t>En primer lugar, incurre en petición de principio, vicio que la doctrina de la argumentación describe como demostrar por sí mismo lo que no está claro, es decir, no demostrar.</w:t>
      </w:r>
      <w:r>
        <w:rPr>
          <w:rFonts w:ascii="Arial" w:hAnsi="Arial"/>
          <w:vertAlign w:val="superscript"/>
        </w:rPr>
        <w:t>4</w:t>
      </w:r>
      <w:r>
        <w:rPr>
          <w:rFonts w:ascii="Arial" w:hAnsi="Arial"/>
          <w:b w:val="0"/>
          <w:i w:val="0"/>
          <w:sz w:val="28"/>
        </w:rPr>
        <w:t xml:space="preserve"> La autoridad da por sentado que el documento no es una resolución para concluir que no requiere firma, cuando lo que debía demostrar es precisamente que un rechazo apoyado en preceptos legales, que cierra el trámite y niega un beneficio fiscal, no decide nada. Quien declara improcedente un aviso y niega una inscripción está resolviendo, no orientando.</w:t>
      </w:r>
    </w:p>
    <w:p>
      <w:pPr>
        <w:spacing w:line="360" w:lineRule="auto"/>
        <w:jc w:val="both"/>
      </w:pPr>
      <w:r>
        <w:rPr>
          <w:rFonts w:ascii="Arial" w:hAnsi="Arial"/>
          <w:b w:val="0"/>
          <w:i w:val="0"/>
          <w:sz w:val="28"/>
        </w:rPr>
        <w:t xml:space="preserve">En segundo lugar, cuando la autoridad afirma que el documento </w:t>
      </w:r>
      <w:r>
        <w:rPr>
          <w:rFonts w:ascii="Arial" w:hAnsi="Arial"/>
          <w:b w:val="0"/>
          <w:i/>
          <w:sz w:val="28"/>
        </w:rPr>
        <w:t>«contiene cadena original y sello digital»</w:t>
      </w:r>
      <w:r>
        <w:rPr>
          <w:rFonts w:ascii="Arial" w:hAnsi="Arial"/>
          <w:b w:val="0"/>
          <w:i w:val="0"/>
          <w:sz w:val="28"/>
        </w:rPr>
        <w:t xml:space="preserve"> que lo autentican, pero no exhibe el resultado de verificación del portal ni identifica al funcionario que lo suscribió, incurre en la falacia de eludir la carga de la prueba, que consiste en no aportar razones que fundamenten la conclusión o en pretender que las aporte el oponente.</w:t>
      </w:r>
      <w:r>
        <w:rPr>
          <w:rFonts w:ascii="Arial" w:hAnsi="Arial"/>
          <w:vertAlign w:val="superscript"/>
        </w:rPr>
        <w:t>5</w:t>
      </w:r>
      <w:r>
        <w:rPr>
          <w:rFonts w:ascii="Arial" w:hAnsi="Arial"/>
          <w:b w:val="0"/>
          <w:i w:val="0"/>
          <w:sz w:val="28"/>
        </w:rPr>
        <w:t xml:space="preserve"> Si el sello existiera, bastaría acudir al mecanismo público de comprobación; no hacerlo equivale a no probar.</w:t>
      </w:r>
    </w:p>
    <w:p>
      <w:pPr>
        <w:spacing w:line="360" w:lineRule="auto"/>
        <w:jc w:val="both"/>
      </w:pPr>
      <w:r>
        <w:rPr>
          <w:rFonts w:ascii="Arial" w:hAnsi="Arial"/>
          <w:b w:val="0"/>
          <w:i w:val="0"/>
          <w:sz w:val="28"/>
        </w:rPr>
        <w:t>A ello se agrega que un sello institucional genérico no satisface el artículo 38, fracción V, del código, que exige la firma del funcionario competente: la norma quiere una persona identificable, con facultades para decidir, no una marca automática del sistema que nadie asume como propia.</w:t>
      </w:r>
    </w:p>
    <w:p>
      <w:pPr>
        <w:spacing w:line="360" w:lineRule="auto"/>
        <w:jc w:val="both"/>
      </w:pPr>
      <w:r>
        <w:rPr>
          <w:rFonts w:ascii="Arial" w:hAnsi="Arial"/>
          <w:b w:val="0"/>
          <w:i w:val="0"/>
          <w:sz w:val="28"/>
        </w:rPr>
        <w:t xml:space="preserve">En tercer lugar, el debate sobre si el acuse es o no una resolución </w:t>
      </w:r>
      <w:r>
        <w:rPr>
          <w:rFonts w:ascii="Arial" w:hAnsi="Arial"/>
          <w:b w:val="0"/>
          <w:i/>
          <w:sz w:val="28"/>
        </w:rPr>
        <w:t>«determinante»</w:t>
      </w:r>
      <w:r>
        <w:rPr>
          <w:rFonts w:ascii="Arial" w:hAnsi="Arial"/>
          <w:b w:val="0"/>
          <w:i w:val="0"/>
          <w:sz w:val="28"/>
        </w:rPr>
        <w:t xml:space="preserve"> desplaza la cuestión en litigio, error que la doctrina identifica como ignoratio elenchi: abandonar la cuestión que se discute para introducir otra distinta.</w:t>
      </w:r>
      <w:r>
        <w:rPr>
          <w:rFonts w:ascii="Arial" w:hAnsi="Arial"/>
          <w:vertAlign w:val="superscript"/>
        </w:rPr>
        <w:t>6</w:t>
      </w:r>
      <w:r>
        <w:rPr>
          <w:rFonts w:ascii="Arial" w:hAnsi="Arial"/>
          <w:b w:val="0"/>
          <w:i w:val="0"/>
          <w:sz w:val="28"/>
        </w:rPr>
        <w:t xml:space="preserve"> El artículo 3, fracción V, de la Ley Orgánica no exige que el acto determine un crédito fiscal; basta que cause un agravio en materia fiscal. La litis no versa sobre si el acuse liquida contribuciones, sino sobre si un acto que niega un beneficio fiscal ostenta la firma del funcionario que lo emitió.</w:t>
      </w:r>
    </w:p>
    <w:p>
      <w:pPr>
        <w:spacing w:line="360" w:lineRule="auto"/>
        <w:jc w:val="both"/>
      </w:pPr>
      <w:r>
        <w:rPr>
          <w:rFonts w:ascii="Arial" w:hAnsi="Arial"/>
          <w:b w:val="0"/>
          <w:i w:val="0"/>
          <w:sz w:val="28"/>
        </w:rPr>
        <w:t>A ello se suma una contradicción que la propia autoridad genera. Si sostiene que el acuse no debía notificarse por buzón tributario, admite que nunca practicó la notificación que el artículo 17-K, fracción I, del código ordena para cualquier acto en documento digital; y si nunca lo notificó, la fecha de emisión no puede tenerse como fecha de conocimiento ni servir de base para alegar el consentimiento del acto. La autoridad no puede negar al documento el carácter de resolución para eludir la firma y, al mismo tiempo, atribuirle ese carácter para computar en su contra el plazo de impugnación.</w:t>
      </w:r>
    </w:p>
    <w:p>
      <w:pPr>
        <w:spacing w:line="360" w:lineRule="auto"/>
        <w:jc w:val="both"/>
      </w:pPr>
      <w:r>
        <w:rPr>
          <w:rFonts w:ascii="Arial" w:hAnsi="Arial"/>
          <w:b w:val="0"/>
          <w:i w:val="0"/>
          <w:sz w:val="28"/>
        </w:rPr>
        <w:t>La consecuencia sistémica de aceptar la postura de la autoridad revela por sí sola el error: si bastara que un sistema automatizado generara rechazos anónimos para que la persona contribuyente perdiera un beneficio fiscal, el artículo 38, fracción V, del código quedaría vacío y la garantía del artículo 16 constitucional se reduciría a una formalidad disponible para la administración. Ninguna interpretación que produzca ese resultado puede reputarse correcta.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acuse de respuesta que rechazó el aviso de la parte actora es una resolución definitiva que causa agravio en materia fiscal; consta en documento digital y, por ello, debía contener la firma electrónica avanzada del funcionario competente; la parte actora niega lisa y llanamente que la contenga; y la comprobación de integridad y autoría por los medios oficiales no es posible. El acto no expresa la voluntad de la autoridad y deja a la parte actora en indefensión, en violación de los artículos 17-D, primer párrafo, y 38, fracción V, del Código Fiscal de la Federación y 16, primer párrafo, constitucional.</w:t>
      </w:r>
    </w:p>
    <w:p>
      <w:pPr>
        <w:spacing w:line="360" w:lineRule="auto"/>
        <w:jc w:val="both"/>
      </w:pPr>
      <w:r>
        <w:rPr>
          <w:rFonts w:ascii="Arial" w:hAnsi="Arial"/>
          <w:b w:val="0"/>
          <w:i w:val="0"/>
          <w:sz w:val="28"/>
        </w:rPr>
        <w:t>Por lo expuesto, procede declarar fundado el presente concepto de impugnación y decretar la nulidad de la resolución impugnada con fundamento en los artículos 51, fracción II, y 52 de la Ley Federal de Procedimiento Contencioso Administrativo. Se solicita que la nulidad sea lisa y llana, pues un documento sin firma de funcionario competente no contiene voluntad alguna de la autoridad y, por tanto, no existe acto que pueda subsanarse.</w:t>
      </w:r>
    </w:p>
    <w:p>
      <w:pPr>
        <w:spacing w:line="360" w:lineRule="auto"/>
        <w:jc w:val="both"/>
      </w:pPr>
      <w:r>
        <w:rPr>
          <w:rFonts w:ascii="Arial" w:hAnsi="Arial"/>
          <w:b w:val="0"/>
          <w:i w:val="0"/>
          <w:sz w:val="28"/>
        </w:rPr>
        <w:t>De manera subsidiaria, y sólo para el caso de que esta Sala estime que se trata de un vicio formal subsanable, se solicita la nulidad para el efecto de que la autoridad emita, dentro del plazo que fija el artículo 52 de la propia ley, una nueva resolución firmada electrónicamente por el funcionario competente, en la que además exprese los motivos concretos por los que el aviso no resultó procedente.</w:t>
      </w:r>
    </w:p>
    <w:p>
      <w:pPr>
        <w:spacing w:line="360" w:lineRule="auto"/>
        <w:jc w:val="both"/>
      </w:pPr>
      <w:r>
        <w:rPr>
          <w:rFonts w:ascii="Arial" w:hAnsi="Arial"/>
          <w:b w:val="0"/>
          <w:i w:val="0"/>
          <w:sz w:val="28"/>
        </w:rPr>
        <w:t>Se solicita, asimismo, el estudio preferente de este concepto, pues su acogimiento priva de existencia jurídica al acto impugnado y otorga a la parte actora el mayor beneficio posible en el juicio.</w:t>
      </w:r>
    </w:p>
    <w:p>
      <w:pPr>
        <w:spacing w:line="360" w:lineRule="auto"/>
        <w:jc w:val="both"/>
      </w:pPr>
      <w:r>
        <w:rPr>
          <w:rFonts w:ascii="Arial" w:hAnsi="Arial"/>
          <w:b w:val="0"/>
          <w:i w:val="0"/>
          <w:sz w:val="28"/>
        </w:rPr>
        <w:t>Finalmente, se pide tener presente que, conforme al artículo 16, fracción II, de la Ley Federal de Procedimiento Contencioso Administrativo, corresponde a la autoridad demandada exhibir la constancia de la resolución y de su notificación, incluido el acuse de recibo del buzón tributario, y que, ante la negativa lisa y llana formulada, a ella incumbe acreditar la integridad y autoría del acuse; su omisión confirmará tanto la ausencia de firma como la oportunidad de esta demanda.</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88.</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FERRER MAC-GREGOR, op. cit.</w:t>
      </w:r>
      <w:r>
        <w:rPr>
          <w:rFonts w:ascii="Arial" w:hAnsi="Arial"/>
          <w:i w:val="0"/>
          <w:sz w:val="20"/>
        </w:rPr>
        <w:t>, p. 656.</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228.</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GARCÍA DAMBORENEA, op. cit.</w:t>
      </w:r>
      <w:r>
        <w:rPr>
          <w:rFonts w:ascii="Arial" w:hAnsi="Arial"/>
          <w:i w:val="0"/>
          <w:sz w:val="20"/>
        </w:rPr>
        <w:t>, p. 38.</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 p. 82.</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w:t>
      </w:r>
    </w:p>
    <w:p>
      <w:pPr>
        <w:spacing w:after="60"/>
        <w:ind w:left="360" w:hanging="360"/>
        <w:jc w:val="both"/>
      </w:pP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