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INTERESES POR DEVOLUCIÓN DE SALDO A FAVOR EFECTUADA FUERA DE PLAZO</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adapta el concepto de impugnación a tu demanda de nulidad. Primero arma la línea de tiempo con cuatro documentos: el acuse de la solicitud de devolución, el oficio que la autorizó, la constancia de su notificación y el estado de cuenta donde aparece el depósito. Cuenta los cuarenta días desde la presentación, sin sábados, domingos ni los días inhábiles y vacaciones generales que excluye el artículo 12 del Código Fiscal de la Federación, y verifica si la autoridad te notificó algún requerimiento o el inicio de facultades de comprobación para verificar la procedencia de la devolución: si hubo requerimiento, el tiempo entre su notificación y la entrega completa de la información no cuenta, y el concepto sólo prospera si aun así la devolución llegó tarde; si hubo revisión, el plazo se suspende hasta que se resuelva la solicitud y el cómputo sigue otras reglas del mismo artículo.</w:t>
      </w:r>
    </w:p>
    <w:p>
      <w:pPr>
        <w:spacing w:line="360" w:lineRule="auto"/>
        <w:jc w:val="both"/>
      </w:pPr>
      <w:r>
        <w:rPr>
          <w:rFonts w:ascii="Arial" w:hAnsi="Arial"/>
          <w:b w:val="0"/>
          <w:i w:val="0"/>
          <w:sz w:val="24"/>
        </w:rPr>
        <w:t>Coteja el texto del artículo 22 del Código Fiscal de la Federación vigente en la fecha de tu solicitud antes de numerar el párrafo que fija el plazo de cuarenta días: la Sala lo llamó sexto, pero en el texto vigente el propio artículo 22 se refiere a él como párrafo séptimo, y por eso el machote invoca el artículo sin numerar ese párrafo. Determina después la vía: desde la reforma publicada en el Diario Oficial de la Federación el 9 de junio de 2026, el artículo 58-2, fracción VI, de la Ley Federal de Procedimiento Contencioso Administrativo incluye en la vía sumaria las resoluciones que emitan las autoridades fiscales federales en respuesta a solicitudes de devolución, con el límite de cuantía que fija el párrafo primero de ese artículo. En cualquier caso la demanda se presenta dentro de treinta días: artículo 13, fracción I, en la vía ordinaria, y artículo 58-2, párrafo tercero, en la sumaria.</w:t>
      </w:r>
    </w:p>
    <w:p>
      <w:pPr>
        <w:spacing w:line="360" w:lineRule="auto"/>
        <w:jc w:val="both"/>
      </w:pPr>
      <w:r>
        <w:rPr>
          <w:rFonts w:ascii="Arial" w:hAnsi="Arial"/>
          <w:b w:val="0"/>
          <w:i w:val="0"/>
          <w:sz w:val="24"/>
        </w:rPr>
        <w:t>Si la autoridad tampoco actualizó la cantidad devuelta, valora plantearlo en un concepto por separado, para no mezclar dos violaciones distintas. Por último, llena los campos editables y elimina los párrafos de refutación que no correspondan a lo que la autoridad haya sostenido.</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[NÚMERO DE OFICIO DE LA RESOLUCIÓN IMPUGNADA]</w:t>
      </w:r>
      <w:r>
        <w:rPr>
          <w:rFonts w:ascii="Arial" w:hAnsi="Arial"/>
          <w:b w:val="0"/>
          <w:i w:val="0"/>
          <w:sz w:val="24"/>
        </w:rPr>
        <w:t>: el número exacto del oficio que autorizó la devolución.</w:t>
      </w:r>
    </w:p>
    <w:p>
      <w:pPr>
        <w:spacing w:line="360" w:lineRule="auto"/>
        <w:jc w:val="both"/>
      </w:pPr>
      <w:r>
        <w:rPr>
          <w:rFonts w:ascii="Arial" w:hAnsi="Arial"/>
          <w:b/>
          <w:i w:val="0"/>
          <w:sz w:val="24"/>
        </w:rPr>
        <w:t>[AUTORIDAD DEMANDADA]</w:t>
      </w:r>
      <w:r>
        <w:rPr>
          <w:rFonts w:ascii="Arial" w:hAnsi="Arial"/>
          <w:b w:val="0"/>
          <w:i w:val="0"/>
          <w:sz w:val="24"/>
        </w:rPr>
        <w:t>: la unidad administrativa que emitió el oficio, con su denominación completa.</w:t>
      </w:r>
    </w:p>
    <w:p>
      <w:pPr>
        <w:spacing w:line="360" w:lineRule="auto"/>
        <w:jc w:val="both"/>
      </w:pPr>
      <w:r>
        <w:rPr>
          <w:rFonts w:ascii="Arial" w:hAnsi="Arial"/>
          <w:b/>
          <w:i w:val="0"/>
          <w:sz w:val="24"/>
        </w:rPr>
        <w:t>[NOMBRE DE LA PARTE ACTORA]</w:t>
      </w:r>
      <w:r>
        <w:rPr>
          <w:rFonts w:ascii="Arial" w:hAnsi="Arial"/>
          <w:b w:val="0"/>
          <w:i w:val="0"/>
          <w:sz w:val="24"/>
        </w:rPr>
        <w:t>: la persona física o moral que solicitó la devolución.</w:t>
      </w:r>
    </w:p>
    <w:p>
      <w:pPr>
        <w:spacing w:line="360" w:lineRule="auto"/>
        <w:jc w:val="both"/>
      </w:pPr>
      <w:r>
        <w:rPr>
          <w:rFonts w:ascii="Arial" w:hAnsi="Arial"/>
          <w:b/>
          <w:i w:val="0"/>
          <w:sz w:val="24"/>
        </w:rPr>
        <w:t>[MONTO DE LA DEVOLUCIÓN AUTORIZADA]</w:t>
      </w:r>
      <w:r>
        <w:rPr>
          <w:rFonts w:ascii="Arial" w:hAnsi="Arial"/>
          <w:b w:val="0"/>
          <w:i w:val="0"/>
          <w:sz w:val="24"/>
        </w:rPr>
        <w:t>: la cantidad que autorizó el oficio, con número y letra.</w:t>
      </w:r>
    </w:p>
    <w:p>
      <w:pPr>
        <w:spacing w:line="360" w:lineRule="auto"/>
        <w:jc w:val="both"/>
      </w:pPr>
      <w:r>
        <w:rPr>
          <w:rFonts w:ascii="Arial" w:hAnsi="Arial"/>
          <w:b/>
          <w:i w:val="0"/>
          <w:sz w:val="24"/>
        </w:rPr>
        <w:t>[CONTRIBUCIÓN Y EJERCICIO DEL SALDO A FAVOR]</w:t>
      </w:r>
      <w:r>
        <w:rPr>
          <w:rFonts w:ascii="Arial" w:hAnsi="Arial"/>
          <w:b w:val="0"/>
          <w:i w:val="0"/>
          <w:sz w:val="24"/>
        </w:rPr>
        <w:t>: el impuesto y el periodo del saldo, por ejemplo Impuesto sobre la Renta del ejercicio 2024.</w:t>
      </w:r>
    </w:p>
    <w:p>
      <w:pPr>
        <w:spacing w:line="360" w:lineRule="auto"/>
        <w:jc w:val="both"/>
      </w:pPr>
      <w:r>
        <w:rPr>
          <w:rFonts w:ascii="Arial" w:hAnsi="Arial"/>
          <w:b/>
          <w:i w:val="0"/>
          <w:sz w:val="24"/>
        </w:rPr>
        <w:t>[NÚMERO DE LA SOLICITUD DE DEVOLUCIÓN]</w:t>
      </w:r>
      <w:r>
        <w:rPr>
          <w:rFonts w:ascii="Arial" w:hAnsi="Arial"/>
          <w:b w:val="0"/>
          <w:i w:val="0"/>
          <w:sz w:val="24"/>
        </w:rPr>
        <w:t>: el folio o número de control que se asignó al presentar la solicitud.</w:t>
      </w:r>
    </w:p>
    <w:p>
      <w:pPr>
        <w:spacing w:line="360" w:lineRule="auto"/>
        <w:jc w:val="both"/>
      </w:pPr>
      <w:r>
        <w:rPr>
          <w:rFonts w:ascii="Arial" w:hAnsi="Arial"/>
          <w:b/>
          <w:i w:val="0"/>
          <w:sz w:val="24"/>
        </w:rPr>
        <w:t>[FECHA DE PRESENTACIÓN DE LA SOLICITUD DE DEVOLUCIÓN]</w:t>
      </w:r>
      <w:r>
        <w:rPr>
          <w:rFonts w:ascii="Arial" w:hAnsi="Arial"/>
          <w:b w:val="0"/>
          <w:i w:val="0"/>
          <w:sz w:val="24"/>
        </w:rPr>
        <w:t>: la fecha del acuse de recibo de la solicitud.</w:t>
      </w:r>
    </w:p>
    <w:p>
      <w:pPr>
        <w:spacing w:line="360" w:lineRule="auto"/>
        <w:jc w:val="both"/>
      </w:pPr>
      <w:r>
        <w:rPr>
          <w:rFonts w:ascii="Arial" w:hAnsi="Arial"/>
          <w:b/>
          <w:i w:val="0"/>
          <w:sz w:val="24"/>
        </w:rPr>
        <w:t>[FECHA DE VENCIMIENTO DEL PLAZO DE CUARENTA DÍAS]</w:t>
      </w:r>
      <w:r>
        <w:rPr>
          <w:rFonts w:ascii="Arial" w:hAnsi="Arial"/>
          <w:b w:val="0"/>
          <w:i w:val="0"/>
          <w:sz w:val="24"/>
        </w:rPr>
        <w:t>: el día en que se cumplieron los cuarenta días, contados conforme al artículo 12 del Código Fiscal de la Federación.</w:t>
      </w:r>
    </w:p>
    <w:p>
      <w:pPr>
        <w:spacing w:line="360" w:lineRule="auto"/>
        <w:jc w:val="both"/>
      </w:pPr>
      <w:r>
        <w:rPr>
          <w:rFonts w:ascii="Arial" w:hAnsi="Arial"/>
          <w:b/>
          <w:i w:val="0"/>
          <w:sz w:val="24"/>
        </w:rPr>
        <w:t>[DÍAS INHÁBILES QUE MEDIARON]</w:t>
      </w:r>
      <w:r>
        <w:rPr>
          <w:rFonts w:ascii="Arial" w:hAnsi="Arial"/>
          <w:b w:val="0"/>
          <w:i w:val="0"/>
          <w:sz w:val="24"/>
        </w:rPr>
        <w:t>: los días festivos y los periodos de vacaciones generales de las autoridades fiscales que descontaste en el cómputo.</w:t>
      </w:r>
    </w:p>
    <w:p>
      <w:pPr>
        <w:spacing w:line="360" w:lineRule="auto"/>
        <w:jc w:val="both"/>
      </w:pPr>
      <w:r>
        <w:rPr>
          <w:rFonts w:ascii="Arial" w:hAnsi="Arial"/>
          <w:b/>
          <w:i w:val="0"/>
          <w:sz w:val="24"/>
        </w:rPr>
        <w:t>[FECHA DE EMISIÓN DE LA RESOLUCIÓN IMPUGNADA]</w:t>
      </w:r>
      <w:r>
        <w:rPr>
          <w:rFonts w:ascii="Arial" w:hAnsi="Arial"/>
          <w:b w:val="0"/>
          <w:i w:val="0"/>
          <w:sz w:val="24"/>
        </w:rPr>
        <w:t>: la fecha que aparece en el oficio.</w:t>
      </w:r>
    </w:p>
    <w:p>
      <w:pPr>
        <w:spacing w:line="360" w:lineRule="auto"/>
        <w:jc w:val="both"/>
      </w:pPr>
      <w:r>
        <w:rPr>
          <w:rFonts w:ascii="Arial" w:hAnsi="Arial"/>
          <w:b/>
          <w:i w:val="0"/>
          <w:sz w:val="24"/>
        </w:rPr>
        <w:t>[FECHA DE NOTIFICACIÓN DE LA RESOLUCIÓN IMPUGNADA]</w:t>
      </w:r>
      <w:r>
        <w:rPr>
          <w:rFonts w:ascii="Arial" w:hAnsi="Arial"/>
          <w:b w:val="0"/>
          <w:i w:val="0"/>
          <w:sz w:val="24"/>
        </w:rPr>
        <w:t>: la fecha en que se te notificó, incluido el buzón tributario.</w:t>
      </w:r>
    </w:p>
    <w:p>
      <w:pPr>
        <w:spacing w:line="360" w:lineRule="auto"/>
        <w:jc w:val="both"/>
      </w:pPr>
      <w:r>
        <w:rPr>
          <w:rFonts w:ascii="Arial" w:hAnsi="Arial"/>
          <w:b/>
          <w:i w:val="0"/>
          <w:sz w:val="24"/>
        </w:rPr>
        <w:t>[FECHA EN QUE SE EFECTUÓ LA DEVOLUCIÓN]</w:t>
      </w:r>
      <w:r>
        <w:rPr>
          <w:rFonts w:ascii="Arial" w:hAnsi="Arial"/>
          <w:b w:val="0"/>
          <w:i w:val="0"/>
          <w:sz w:val="24"/>
        </w:rPr>
        <w:t>: la fecha en que el depósito llegó a tu cuenta.</w:t>
      </w:r>
    </w:p>
    <w:p>
      <w:pPr>
        <w:spacing w:line="360" w:lineRule="auto"/>
        <w:jc w:val="both"/>
      </w:pPr>
      <w:r>
        <w:rPr>
          <w:rFonts w:ascii="Arial" w:hAnsi="Arial"/>
          <w:b/>
          <w:i w:val="0"/>
          <w:sz w:val="24"/>
        </w:rPr>
        <w:t>[DOCUMENTO QUE ACREDITA EL DEPÓSITO]</w:t>
      </w:r>
      <w:r>
        <w:rPr>
          <w:rFonts w:ascii="Arial" w:hAnsi="Arial"/>
          <w:b w:val="0"/>
          <w:i w:val="0"/>
          <w:sz w:val="24"/>
        </w:rPr>
        <w:t>: el estado de cuenta bancario u otra constancia que muestre la fecha del depósito.</w:t>
      </w:r>
    </w:p>
    <w:p/>
    <w:p>
      <w:pPr>
        <w:spacing w:line="360" w:lineRule="auto"/>
        <w:jc w:val="both"/>
      </w:pPr>
      <w:r>
        <w:rPr>
          <w:rFonts w:ascii="Arial" w:hAnsi="Arial"/>
          <w:b/>
          <w:sz w:val="28"/>
        </w:rPr>
        <w:t>[NÚMERO ORDINAL DEL CONCEPTO] CONCEPTO DE IMPUGNACIÓN. Omisión de pagar los intereses del artículo 22-A del Código Fiscal de la Federación. La resolución que autorizó la devolución del saldo a favor se emitió después de vencido el plazo de cuarenta días del artículo 22 del mismo Código, sin requerimiento que lo suspendiera, y guardó silencio sobre los intereses generados, con lo que dejó de aplicar la disposición debida y actualizó la causal de nulidad del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DE OFICIO DE LA RESOLUCIÓN IMPUGNADA]</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mediante la cual se autorizó a </w:t>
      </w:r>
      <w:r>
        <w:rPr>
          <w:rFonts w:ascii="Arial" w:hAnsi="Arial"/>
          <w:b/>
          <w:i w:val="0"/>
          <w:sz w:val="28"/>
        </w:rPr>
        <w:t>[NOMBRE DE LA PARTE ACTORA]</w:t>
      </w:r>
      <w:r>
        <w:rPr>
          <w:rFonts w:ascii="Arial" w:hAnsi="Arial"/>
          <w:b w:val="0"/>
          <w:i w:val="0"/>
          <w:sz w:val="28"/>
        </w:rPr>
        <w:t xml:space="preserve"> la devolución de </w:t>
      </w:r>
      <w:r>
        <w:rPr>
          <w:rFonts w:ascii="Arial" w:hAnsi="Arial"/>
          <w:b/>
          <w:i w:val="0"/>
          <w:sz w:val="28"/>
        </w:rPr>
        <w:t>[MONTO DE LA DEVOLUCIÓN AUTORIZADA]</w:t>
      </w:r>
      <w:r>
        <w:rPr>
          <w:rFonts w:ascii="Arial" w:hAnsi="Arial"/>
          <w:b w:val="0"/>
          <w:i w:val="0"/>
          <w:sz w:val="28"/>
        </w:rPr>
        <w:t xml:space="preserve"> por concepto de saldo a favor de </w:t>
      </w:r>
      <w:r>
        <w:rPr>
          <w:rFonts w:ascii="Arial" w:hAnsi="Arial"/>
          <w:b/>
          <w:i w:val="0"/>
          <w:sz w:val="28"/>
        </w:rPr>
        <w:t>[CONTRIBUCIÓN Y EJERCICIO DEL SALDO A FAVOR]</w:t>
      </w:r>
      <w:r>
        <w:rPr>
          <w:rFonts w:ascii="Arial" w:hAnsi="Arial"/>
          <w:b w:val="0"/>
          <w:i w:val="0"/>
          <w:sz w:val="28"/>
        </w:rPr>
        <w:t>, es ilegal en la porción en que omitió reconocer y pagar los intereses que la ley ordena cubrir cuando la devolución se efectúa fuera de plazo.</w:t>
      </w:r>
    </w:p>
    <w:p>
      <w:pPr>
        <w:spacing w:line="360" w:lineRule="auto"/>
        <w:jc w:val="both"/>
      </w:pPr>
      <w:r>
        <w:rPr>
          <w:rFonts w:ascii="Arial" w:hAnsi="Arial"/>
          <w:b w:val="0"/>
          <w:i w:val="0"/>
          <w:sz w:val="28"/>
        </w:rPr>
        <w:t>La demostración descansa en una secuencia temporal que puede verificarse con las propias constancias: la solicitud se presentó con todos los datos exigidos; la autoridad no formuló requerimiento alguno ni inició facultades de comprobación que suspendieran el cómputo; el plazo de cuarenta días del artículo 22 del Código Fiscal de la Federación venció; y sólo después se emitió y se notificó la resolución que autorizó la devolución. Consumado ese retraso, el artículo 22-A del mismo Código impone a la autoridad el pago de intereses en términos imperativos, sin condicionarlo a una petición adicional.</w:t>
      </w:r>
    </w:p>
    <w:p>
      <w:pPr>
        <w:spacing w:line="360" w:lineRule="auto"/>
        <w:jc w:val="both"/>
      </w:pPr>
      <w:r>
        <w:rPr>
          <w:rFonts w:ascii="Arial" w:hAnsi="Arial"/>
          <w:b w:val="0"/>
          <w:i w:val="0"/>
          <w:sz w:val="28"/>
        </w:rPr>
        <w:t>El silencio de la resolución sobre ese extremo no la vuelve inatacable. La falta de pronunciamiento sobre los intereses equivale a una negativa tácita que afecta la esfera jurídica de quien solicitó la devolución y, como deja de aplicar el artículo 22-A, actualiza la causal de nulidad del artículo 51, fracción IV, de la Ley Federal de Procedimiento Contencioso Administrativo. Por ello se pide a esa Sala que reconozca el derecho de la parte actora y condene a la autoridad al pago, en términos del artículo 52, fracción V, inciso a), de esa ley.</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la resolución contenida en el oficio </w:t>
      </w:r>
      <w:r>
        <w:rPr>
          <w:rFonts w:ascii="Arial" w:hAnsi="Arial"/>
          <w:b/>
          <w:i w:val="0"/>
          <w:sz w:val="28"/>
        </w:rPr>
        <w:t>[NÚMERO DE OFICIO DE LA RESOLUCIÓN IMPUGNADA]</w:t>
      </w:r>
      <w:r>
        <w:rPr>
          <w:rFonts w:ascii="Arial" w:hAnsi="Arial"/>
          <w:b w:val="0"/>
          <w:i w:val="0"/>
          <w:sz w:val="28"/>
        </w:rPr>
        <w:t xml:space="preserve">, de fecha </w:t>
      </w:r>
      <w:r>
        <w:rPr>
          <w:rFonts w:ascii="Arial" w:hAnsi="Arial"/>
          <w:b/>
          <w:i w:val="0"/>
          <w:sz w:val="28"/>
        </w:rPr>
        <w:t>[FECHA DE EMISIÓN DE LA RESOLUCIÓN IMPUGNADA]</w:t>
      </w:r>
      <w:r>
        <w:rPr>
          <w:rFonts w:ascii="Arial" w:hAnsi="Arial"/>
          <w:b w:val="0"/>
          <w:i w:val="0"/>
          <w:sz w:val="28"/>
        </w:rPr>
        <w:t xml:space="preserve">, notificada el </w:t>
      </w:r>
      <w:r>
        <w:rPr>
          <w:rFonts w:ascii="Arial" w:hAnsi="Arial"/>
          <w:b/>
          <w:i w:val="0"/>
          <w:sz w:val="28"/>
        </w:rPr>
        <w:t>[FECHA DE NOTIFICACIÓN DE LA RESOLUCIÓN IMPUGNADA]</w:t>
      </w:r>
      <w:r>
        <w:rPr>
          <w:rFonts w:ascii="Arial" w:hAnsi="Arial"/>
          <w:b w:val="0"/>
          <w:i w:val="0"/>
          <w:sz w:val="28"/>
        </w:rPr>
        <w:t xml:space="preserve">, que recayó a la solicitud de devolución </w:t>
      </w:r>
      <w:r>
        <w:rPr>
          <w:rFonts w:ascii="Arial" w:hAnsi="Arial"/>
          <w:b/>
          <w:i w:val="0"/>
          <w:sz w:val="28"/>
        </w:rPr>
        <w:t>[NÚMERO DE LA SOLICITUD DE DEVOLUCIÓN]</w:t>
      </w:r>
      <w:r>
        <w:rPr>
          <w:rFonts w:ascii="Arial" w:hAnsi="Arial"/>
          <w:b w:val="0"/>
          <w:i w:val="0"/>
          <w:sz w:val="28"/>
        </w:rPr>
        <w:t xml:space="preserve">, presentada el </w:t>
      </w:r>
      <w:r>
        <w:rPr>
          <w:rFonts w:ascii="Arial" w:hAnsi="Arial"/>
          <w:b/>
          <w:i w:val="0"/>
          <w:sz w:val="28"/>
        </w:rPr>
        <w:t>[FECHA DE PRESENTACIÓN DE LA SOLICITUD DE DEVOLUCIÓN]</w:t>
      </w:r>
      <w:r>
        <w:rPr>
          <w:rFonts w:ascii="Arial" w:hAnsi="Arial"/>
          <w:b w:val="0"/>
          <w:i w:val="0"/>
          <w:sz w:val="28"/>
        </w:rPr>
        <w:t>. La impugnación se dirige exclusivamente contra la porción de ese acto que omitió pronunciarse sobre los intereses; la autorización de la cantidad principal no se controvierte y debe quedar intocada.</w:t>
      </w:r>
    </w:p>
    <w:p>
      <w:pPr>
        <w:spacing w:line="360" w:lineRule="auto"/>
        <w:jc w:val="both"/>
      </w:pPr>
      <w:r>
        <w:rPr>
          <w:rFonts w:ascii="Arial" w:hAnsi="Arial"/>
          <w:b w:val="0"/>
          <w:i w:val="0"/>
          <w:sz w:val="28"/>
        </w:rPr>
        <w:t>Las normas cuya inobservancia se plantea son los artículos 22 y 22-A, primer párrafo, del Código Fiscal de la Federación, que fijan el plazo para efectuar la devolución y la consecuencia de rebasarlo; el artículo 38, fracción IV, del mismo Código, que exige que los actos administrativos que se notifiquen estén fundados y motivados; y los artículos 8o. y 16, primer párrafo, de la Constitución Política de los Estados Unidos Mexicanos, de los que derivan el derecho a obtener respuesta a toda petición y la obligación de fundar y motivar la causa legal de todo acto de molestia.</w:t>
      </w:r>
    </w:p>
    <w:p>
      <w:pPr>
        <w:spacing w:line="360" w:lineRule="auto"/>
        <w:jc w:val="both"/>
      </w:pPr>
      <w:r>
        <w:rPr>
          <w:rFonts w:ascii="Arial" w:hAnsi="Arial"/>
          <w:b w:val="0"/>
          <w:i w:val="0"/>
          <w:sz w:val="28"/>
        </w:rPr>
        <w:t>El perjuicio es directo y cuantificable. Durante todo el tiempo que medió entre el vencimiento del plazo legal y la devolución efectiva, la parte actora estuvo privada del uso de una cantidad que la propia autoridad reconoció como suya, y la resolución le niega, por la vía del silencio, la compensación que el legislador previó precisamente para ese retraso. De prosperar este concepto, el beneficio es el mayor que admite la pretensión: el reconocimiento del derecho a los intereses y la condena a su pago.</w:t>
      </w:r>
    </w:p>
    <w:p>
      <w:pPr>
        <w:spacing w:line="360" w:lineRule="auto"/>
        <w:jc w:val="both"/>
      </w:pPr>
      <w:r>
        <w:rPr>
          <w:rFonts w:ascii="Arial" w:hAnsi="Arial"/>
          <w:b w:val="0"/>
          <w:i w:val="0"/>
          <w:sz w:val="28"/>
        </w:rPr>
        <w:t xml:space="preserve">Conviene anticipar que la autorización del principal no priva a la parte actora de interés jurídico. La causal del artículo 8o., fracción I, de la Ley Federal de Procedimiento Contencioso Administrativo se refiere a los actos </w:t>
      </w:r>
      <w:r>
        <w:rPr>
          <w:rFonts w:ascii="Arial" w:hAnsi="Arial"/>
          <w:b w:val="0"/>
          <w:i/>
          <w:sz w:val="28"/>
        </w:rPr>
        <w:t>“Que no afecten los intereses jurídicos de la persona demandante”</w:t>
      </w:r>
      <w:r>
        <w:rPr>
          <w:rFonts w:ascii="Arial" w:hAnsi="Arial"/>
          <w:b w:val="0"/>
          <w:i w:val="0"/>
          <w:sz w:val="28"/>
        </w:rPr>
        <w:t>, y aquí la afectación consiste en la negativa tácita de una prestación legal autónoma: la resolución favorece a la parte actora en el principal y la perjudica en los intereses, de modo que su impugnación en esa porción satisface el presupuesto procesal.</w:t>
      </w:r>
    </w:p>
    <w:p>
      <w:pPr>
        <w:spacing w:line="360" w:lineRule="auto"/>
        <w:jc w:val="both"/>
      </w:pPr>
      <w:r>
        <w:rPr>
          <w:rFonts w:ascii="Arial" w:hAnsi="Arial"/>
          <w:b w:val="0"/>
          <w:i w:val="0"/>
          <w:sz w:val="28"/>
        </w:rPr>
        <w:t>La doctrina procesal define las causales de improcedencia como aquellas razones que impiden al tribunal pronunciar una resolución de fondo por existir un impedimento técnico insalvable.</w:t>
      </w:r>
      <w:r>
        <w:rPr>
          <w:rFonts w:ascii="Arial" w:hAnsi="Arial"/>
          <w:vertAlign w:val="superscript"/>
        </w:rPr>
        <w:t>1</w:t>
      </w:r>
      <w:r>
        <w:rPr>
          <w:rFonts w:ascii="Arial" w:hAnsi="Arial"/>
          <w:b w:val="0"/>
          <w:i w:val="0"/>
          <w:sz w:val="28"/>
        </w:rPr>
        <w:t xml:space="preserve"> Determinar si la parte actora tiene derecho a los intereses carece de ese carácter, porque coincide con el tema de fondo; así lo advirtió una Sala Regional de ese Tribunal al resolver un caso análogo, al señalar que ese punto </w:t>
      </w:r>
      <w:r>
        <w:rPr>
          <w:rFonts w:ascii="Arial" w:hAnsi="Arial"/>
          <w:b w:val="0"/>
          <w:i/>
          <w:sz w:val="28"/>
        </w:rPr>
        <w:t>“no es una cuestión que pueda ser dilucidada a través de una causal de improcedencia”</w:t>
      </w:r>
      <w:r>
        <w:rPr>
          <w:rFonts w:ascii="Arial" w:hAnsi="Arial"/>
          <w:b w:val="0"/>
          <w:i w:val="0"/>
          <w:sz w:val="28"/>
        </w:rPr>
        <w:t>, de modo que su examen corresponde al estudio de los conceptos de impugnación.</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 xml:space="preserve">El artículo 22 del Código Fiscal de la Federación, en su primer párrafo, impone a las autoridades fiscales el deber de devolver las cantidades pagadas indebidamente y las que procedan conforme a las leyes fiscales. Más adelante, el mismo artículo precisa el tiempo de ese deber: la devolución </w:t>
      </w:r>
      <w:r>
        <w:rPr>
          <w:rFonts w:ascii="Arial" w:hAnsi="Arial"/>
          <w:b w:val="0"/>
          <w:i/>
          <w:sz w:val="28"/>
        </w:rPr>
        <w:t>“deberá efectuarse dentro del plazo de cuarenta días siguientes a la fecha en que se presentó la solicitud ante la autoridad fiscal competente con todos los datos”</w:t>
      </w:r>
      <w:r>
        <w:rPr>
          <w:rFonts w:ascii="Arial" w:hAnsi="Arial"/>
          <w:b w:val="0"/>
          <w:i w:val="0"/>
          <w:sz w:val="28"/>
        </w:rPr>
        <w:t>, incluidos, para el depósito en cuenta, los de la institución financiera y de la cuenta de la persona contribuyente.</w:t>
      </w:r>
    </w:p>
    <w:p>
      <w:pPr>
        <w:spacing w:line="360" w:lineRule="auto"/>
        <w:jc w:val="both"/>
      </w:pPr>
      <w:r>
        <w:rPr>
          <w:rFonts w:ascii="Arial" w:hAnsi="Arial"/>
          <w:b w:val="0"/>
          <w:i w:val="0"/>
          <w:sz w:val="28"/>
        </w:rPr>
        <w:t xml:space="preserve">El mismo párrafo regula la causa de suspensión que con mayor frecuencia se invoca. La autoridad puede requerir datos, informes o documentos adicionales para verificar la procedencia de la devolución y, cuando lo hace, el periodo transcurrido entre la notificación del primer requerimiento y la fecha en que la información se proporciona en su totalidad </w:t>
      </w:r>
      <w:r>
        <w:rPr>
          <w:rFonts w:ascii="Arial" w:hAnsi="Arial"/>
          <w:b w:val="0"/>
          <w:i/>
          <w:sz w:val="28"/>
        </w:rPr>
        <w:t>“no se considerará en el cómputo del plazo para la devolución antes mencionado”</w:t>
      </w:r>
      <w:r>
        <w:rPr>
          <w:rFonts w:ascii="Arial" w:hAnsi="Arial"/>
          <w:b w:val="0"/>
          <w:i w:val="0"/>
          <w:sz w:val="28"/>
        </w:rPr>
        <w:t>.</w:t>
      </w:r>
    </w:p>
    <w:p>
      <w:pPr>
        <w:spacing w:line="360" w:lineRule="auto"/>
        <w:jc w:val="both"/>
      </w:pPr>
      <w:r>
        <w:rPr>
          <w:rFonts w:ascii="Arial" w:hAnsi="Arial"/>
          <w:b w:val="0"/>
          <w:i w:val="0"/>
          <w:sz w:val="28"/>
        </w:rPr>
        <w:t>Fuera de ese supuesto y de los demás que el propio artículo 22 prevé para suspender el plazo, como el inicio de facultades de comprobación para verificar la procedencia de la devolución, el cómputo corre sin interrupción, con las exclusiones que el artículo 12 del propio Código establece para los plazos fijados en días.</w:t>
      </w:r>
    </w:p>
    <w:p>
      <w:pPr>
        <w:spacing w:line="360" w:lineRule="auto"/>
        <w:jc w:val="both"/>
      </w:pPr>
      <w:r>
        <w:rPr>
          <w:rFonts w:ascii="Arial" w:hAnsi="Arial"/>
          <w:b w:val="0"/>
          <w:i w:val="0"/>
          <w:sz w:val="28"/>
        </w:rPr>
        <w:t xml:space="preserve">El artículo 22-A, primer párrafo, prevé la consecuencia del incumplimiento: cuando se presente una solicitud de devolución de un saldo a favor o de un pago de lo indebido y la devolución se efectúe fuera del plazo del artículo anterior, las autoridades fiscales </w:t>
      </w:r>
      <w:r>
        <w:rPr>
          <w:rFonts w:ascii="Arial" w:hAnsi="Arial"/>
          <w:b w:val="0"/>
          <w:i/>
          <w:sz w:val="28"/>
        </w:rPr>
        <w:t>“pagarán intereses que se calcularán a partir del día siguiente al del vencimiento de dicho plazo”</w:t>
      </w:r>
      <w:r>
        <w:rPr>
          <w:rFonts w:ascii="Arial" w:hAnsi="Arial"/>
          <w:b w:val="0"/>
          <w:i w:val="0"/>
          <w:sz w:val="28"/>
        </w:rPr>
        <w:t>, conforme a la tasa prevista en los términos del artículo 21 del mismo Código, aplicada sobre la devolución actualizada. La norma emplea un imperativo, de modo que el pago de intereses opera como efecto legal del retraso, ajeno a la discreción de la autoridad.</w:t>
      </w:r>
    </w:p>
    <w:p>
      <w:pPr>
        <w:spacing w:line="360" w:lineRule="auto"/>
        <w:jc w:val="both"/>
      </w:pPr>
      <w:r>
        <w:rPr>
          <w:rFonts w:ascii="Arial" w:hAnsi="Arial"/>
          <w:b w:val="0"/>
          <w:i w:val="0"/>
          <w:sz w:val="28"/>
        </w:rPr>
        <w:t>Sobre esa base, la resolución que decide una solicitud de devolución debe abarcar todo lo que la ley vincula a esa solicitud. La doctrina identifica como reglas básicas de carácter formal de toda decisión la congruencia, la exhaustividad y la motivación, y explica que la congruencia exige que lo decidido corresponda exacta y puntualmente con lo planteado.</w:t>
      </w:r>
      <w:r>
        <w:rPr>
          <w:rFonts w:ascii="Arial" w:hAnsi="Arial"/>
          <w:vertAlign w:val="superscript"/>
        </w:rPr>
        <w:t>2</w:t>
      </w:r>
      <w:r>
        <w:rPr>
          <w:rFonts w:ascii="Arial" w:hAnsi="Arial"/>
          <w:b w:val="0"/>
          <w:i w:val="0"/>
          <w:sz w:val="28"/>
        </w:rPr>
        <w:t xml:space="preserve"> Cuando la ley une a la devolución tardía un efecto accesorio obligatorio, la respuesta que resuelve sólo el principal deja sin decidir una parte del objeto que la propia ley puso en juego.</w:t>
      </w:r>
    </w:p>
    <w:p>
      <w:pPr>
        <w:spacing w:line="360" w:lineRule="auto"/>
        <w:jc w:val="both"/>
      </w:pPr>
      <w:r>
        <w:rPr>
          <w:rFonts w:ascii="Arial" w:hAnsi="Arial"/>
          <w:b w:val="0"/>
          <w:i w:val="0"/>
          <w:sz w:val="28"/>
        </w:rPr>
        <w:t>Esa exigencia se refuerza con el principio de completitud de la motivación, conforme al cual la justificación debe comprender todas las elecciones que conducen a la decisión final, pues las que quedan sin justificar escapan a cualquier control sobre su fundamento racional.</w:t>
      </w:r>
      <w:r>
        <w:rPr>
          <w:rFonts w:ascii="Arial" w:hAnsi="Arial"/>
          <w:vertAlign w:val="superscript"/>
        </w:rPr>
        <w:t>3</w:t>
      </w:r>
      <w:r>
        <w:rPr>
          <w:rFonts w:ascii="Arial" w:hAnsi="Arial"/>
          <w:b w:val="0"/>
          <w:i w:val="0"/>
          <w:sz w:val="28"/>
        </w:rPr>
        <w:t xml:space="preserve"> Si la autoridad decidió pagar el principal sin pagar intereses, esa segunda elección, aunque tácita, también debía estar justificada; al no expresarse razón alguna, la persona contribuyente ignora por qué se le niega una prestación que la ley le otorga.</w:t>
      </w:r>
    </w:p>
    <w:p>
      <w:pPr>
        <w:spacing w:line="360" w:lineRule="auto"/>
        <w:jc w:val="both"/>
      </w:pPr>
      <w:r>
        <w:rPr>
          <w:rFonts w:ascii="Arial" w:hAnsi="Arial"/>
          <w:b w:val="0"/>
          <w:i w:val="0"/>
          <w:sz w:val="28"/>
        </w:rPr>
        <w:t>Importa distinguir, además, la clase de vicio. La doctrina constitucional separa la motivación formal, que exige expresar en el documento las normas y razones de la decisión, de la motivación material, que atiende al fondo del acto: si los preceptos se aplicaron debidamente y si las razones conducen en verdad a las consecuencias jurídicas.</w:t>
      </w:r>
      <w:r>
        <w:rPr>
          <w:rFonts w:ascii="Arial" w:hAnsi="Arial"/>
          <w:vertAlign w:val="superscript"/>
        </w:rPr>
        <w:t>4</w:t>
      </w:r>
    </w:p>
    <w:p>
      <w:pPr>
        <w:spacing w:line="360" w:lineRule="auto"/>
        <w:jc w:val="both"/>
      </w:pPr>
      <w:r>
        <w:rPr>
          <w:rFonts w:ascii="Arial" w:hAnsi="Arial"/>
          <w:b w:val="0"/>
          <w:i w:val="0"/>
          <w:sz w:val="28"/>
        </w:rPr>
        <w:t xml:space="preserve">La omisión que aquí se combate pertenece a la segunda clase, porque la autoridad dejó de aplicar una norma que regía el fondo de lo solicitado, y por eso encuadra en la fracción IV del artículo 51 de la Ley Federal de Procedimiento Contencioso Administrativo, que sanciona la resolución que </w:t>
      </w:r>
      <w:r>
        <w:rPr>
          <w:rFonts w:ascii="Arial" w:hAnsi="Arial"/>
          <w:b w:val="0"/>
          <w:i/>
          <w:sz w:val="28"/>
        </w:rPr>
        <w:t>“dejó de aplicar las debidas, en cuanto al fondo del asunto”</w:t>
      </w:r>
      <w:r>
        <w:rPr>
          <w:rFonts w:ascii="Arial" w:hAnsi="Arial"/>
          <w:b w:val="0"/>
          <w:i w:val="0"/>
          <w:sz w:val="28"/>
        </w:rPr>
        <w:t>.</w:t>
      </w:r>
    </w:p>
    <w:p>
      <w:pPr>
        <w:spacing w:line="360" w:lineRule="auto"/>
        <w:jc w:val="both"/>
      </w:pPr>
      <w:r>
        <w:rPr>
          <w:rFonts w:ascii="Arial" w:hAnsi="Arial"/>
          <w:b w:val="0"/>
          <w:i w:val="0"/>
          <w:sz w:val="28"/>
        </w:rPr>
        <w:t xml:space="preserve">El silencio sobre los intereses tiene, por otra parte, un significado jurídico preciso. Una Sala Regional de ese Tribunal, al resolver un caso análogo, consideró que la ausencia de pronunciamiento de la autoridad sobre el pago de los intereses implica una </w:t>
      </w:r>
      <w:r>
        <w:rPr>
          <w:rFonts w:ascii="Arial" w:hAnsi="Arial"/>
          <w:b w:val="0"/>
          <w:i/>
          <w:sz w:val="28"/>
        </w:rPr>
        <w:t>“negativa implícita o tácita”</w:t>
      </w:r>
      <w:r>
        <w:rPr>
          <w:rFonts w:ascii="Arial" w:hAnsi="Arial"/>
          <w:b w:val="0"/>
          <w:i w:val="0"/>
          <w:sz w:val="28"/>
        </w:rPr>
        <w:t xml:space="preserve">, y que esa omisión acredita la afectación al interés jurídico de quien pidió la devolución. Esa lectura armoniza con el artículo 8o. constitucional, conforme al cual </w:t>
      </w:r>
      <w:r>
        <w:rPr>
          <w:rFonts w:ascii="Arial" w:hAnsi="Arial"/>
          <w:b w:val="0"/>
          <w:i/>
          <w:sz w:val="28"/>
        </w:rPr>
        <w:t>“A toda petición deberá recaer un acuerdo escrito de la autoridad a quien se haya dirigido”</w:t>
      </w:r>
      <w:r>
        <w:rPr>
          <w:rFonts w:ascii="Arial" w:hAnsi="Arial"/>
          <w:b w:val="0"/>
          <w:i w:val="0"/>
          <w:sz w:val="28"/>
        </w:rPr>
        <w:t>, pues de otro modo bastaría callar para eludir una obligación legal.</w:t>
      </w:r>
    </w:p>
    <w:p>
      <w:pPr>
        <w:spacing w:line="360" w:lineRule="auto"/>
        <w:jc w:val="both"/>
      </w:pPr>
      <w:r>
        <w:rPr>
          <w:rFonts w:ascii="Arial" w:hAnsi="Arial"/>
          <w:b w:val="0"/>
          <w:i w:val="0"/>
          <w:sz w:val="28"/>
        </w:rPr>
        <w:t xml:space="preserve">Finalmente, el artículo 50 de la Ley Federal de Procedimiento Contencioso Administrativo dispone que, en las sentencias que condenen a la autoridad a la restitución de un derecho subjetivo violado o a la devolución de una cantidad, </w:t>
      </w:r>
      <w:r>
        <w:rPr>
          <w:rFonts w:ascii="Arial" w:hAnsi="Arial"/>
          <w:b w:val="0"/>
          <w:i/>
          <w:sz w:val="28"/>
        </w:rPr>
        <w:t>“el Tribunal deberá previamente constatar el derecho que tiene la persona particular, además de la ilegalidad de la resolución impugnada”</w:t>
      </w:r>
      <w:r>
        <w:rPr>
          <w:rFonts w:ascii="Arial" w:hAnsi="Arial"/>
          <w:b w:val="0"/>
          <w:i w:val="0"/>
          <w:sz w:val="28"/>
        </w:rPr>
        <w:t>. Por esa razón, este concepto no se limita a señalar la omisión: acredita con las fechas que constan en autos el derecho de la parte actora a los intereses, para que esa Sala cuente con todos los elementos para reconocerlo y condenar a su pago.</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del expediente encuadran con exactitud en la premisa expuesta. La parte actora presentó su solicitud de devolución el </w:t>
      </w:r>
      <w:r>
        <w:rPr>
          <w:rFonts w:ascii="Arial" w:hAnsi="Arial"/>
          <w:b/>
          <w:i w:val="0"/>
          <w:sz w:val="28"/>
        </w:rPr>
        <w:t>[FECHA DE PRESENTACIÓN DE LA SOLICITUD DE DEVOLUCIÓN]</w:t>
      </w:r>
      <w:r>
        <w:rPr>
          <w:rFonts w:ascii="Arial" w:hAnsi="Arial"/>
          <w:b w:val="0"/>
          <w:i w:val="0"/>
          <w:sz w:val="28"/>
        </w:rPr>
        <w:t>, con todos los datos exigidos por el artículo 22 del Código Fiscal de la Federación, incluidos los de la cuenta para el depósito, como lo acredita el acuse de recibo que se exhibe como prueba. La propia autorización de la devolución en los términos solicitados confirma que la solicitud contenía los datos necesarios para resolverla.</w:t>
      </w:r>
    </w:p>
    <w:p>
      <w:pPr>
        <w:spacing w:line="360" w:lineRule="auto"/>
        <w:jc w:val="both"/>
      </w:pPr>
      <w:r>
        <w:rPr>
          <w:rFonts w:ascii="Arial" w:hAnsi="Arial"/>
          <w:b w:val="0"/>
          <w:i w:val="0"/>
          <w:sz w:val="28"/>
        </w:rPr>
        <w:t>La autoridad no formuló requerimiento alguno de datos, informes o documentos, ni inició facultades de comprobación para verificar la procedencia de la devolución. La resolución impugnada no menciona ninguna de esas actuaciones, y la parte actora manifiesta que no le fue notificada ninguna durante el trámite; la carga de acreditar su existencia y su notificación recae en quien afirme que se realizaron. Sin requerimiento ni revisión no hubo periodo alguno que excluir del cómputo, y el plazo de cuarenta días corrió íntegro.</w:t>
      </w:r>
    </w:p>
    <w:p>
      <w:pPr>
        <w:spacing w:line="360" w:lineRule="auto"/>
        <w:jc w:val="both"/>
      </w:pPr>
      <w:r>
        <w:rPr>
          <w:rFonts w:ascii="Arial" w:hAnsi="Arial"/>
          <w:b w:val="0"/>
          <w:i w:val="0"/>
          <w:sz w:val="28"/>
        </w:rPr>
        <w:t xml:space="preserve">El cómputo, efectuado conforme al artículo 12 del Código Fiscal de la Federación, arroja que el plazo inició el día siguiente a la presentación de la solicitud y venció el </w:t>
      </w:r>
      <w:r>
        <w:rPr>
          <w:rFonts w:ascii="Arial" w:hAnsi="Arial"/>
          <w:b/>
          <w:i w:val="0"/>
          <w:sz w:val="28"/>
        </w:rPr>
        <w:t>[FECHA DE VENCIMIENTO DEL PLAZO DE CUARENTA DÍAS]</w:t>
      </w:r>
      <w:r>
        <w:rPr>
          <w:rFonts w:ascii="Arial" w:hAnsi="Arial"/>
          <w:b w:val="0"/>
          <w:i w:val="0"/>
          <w:sz w:val="28"/>
        </w:rPr>
        <w:t xml:space="preserve">, descontados los días inhábiles que mediaron: </w:t>
      </w:r>
      <w:r>
        <w:rPr>
          <w:rFonts w:ascii="Arial" w:hAnsi="Arial"/>
          <w:b/>
          <w:i w:val="0"/>
          <w:sz w:val="28"/>
        </w:rPr>
        <w:t>[DÍAS INHÁBILES QUE MEDIARON]</w:t>
      </w:r>
      <w:r>
        <w:rPr>
          <w:rFonts w:ascii="Arial" w:hAnsi="Arial"/>
          <w:b w:val="0"/>
          <w:i w:val="0"/>
          <w:sz w:val="28"/>
        </w:rPr>
        <w:t xml:space="preserve">. La resolución impugnada, sin embargo, se emitió el </w:t>
      </w:r>
      <w:r>
        <w:rPr>
          <w:rFonts w:ascii="Arial" w:hAnsi="Arial"/>
          <w:b/>
          <w:i w:val="0"/>
          <w:sz w:val="28"/>
        </w:rPr>
        <w:t>[FECHA DE EMISIÓN DE LA RESOLUCIÓN IMPUGNADA]</w:t>
      </w:r>
      <w:r>
        <w:rPr>
          <w:rFonts w:ascii="Arial" w:hAnsi="Arial"/>
          <w:b w:val="0"/>
          <w:i w:val="0"/>
          <w:sz w:val="28"/>
        </w:rPr>
        <w:t xml:space="preserve"> y se notificó el </w:t>
      </w:r>
      <w:r>
        <w:rPr>
          <w:rFonts w:ascii="Arial" w:hAnsi="Arial"/>
          <w:b/>
          <w:i w:val="0"/>
          <w:sz w:val="28"/>
        </w:rPr>
        <w:t>[FECHA DE NOTIFICACIÓN DE LA RESOLUCIÓN IMPUGNADA]</w:t>
      </w:r>
      <w:r>
        <w:rPr>
          <w:rFonts w:ascii="Arial" w:hAnsi="Arial"/>
          <w:b w:val="0"/>
          <w:i w:val="0"/>
          <w:sz w:val="28"/>
        </w:rPr>
        <w:t xml:space="preserve">, y la devolución se efectuó materialmente hasta el </w:t>
      </w:r>
      <w:r>
        <w:rPr>
          <w:rFonts w:ascii="Arial" w:hAnsi="Arial"/>
          <w:b/>
          <w:i w:val="0"/>
          <w:sz w:val="28"/>
        </w:rPr>
        <w:t>[FECHA EN QUE SE EFECTUÓ LA DEVOLUCIÓN]</w:t>
      </w:r>
      <w:r>
        <w:rPr>
          <w:rFonts w:ascii="Arial" w:hAnsi="Arial"/>
          <w:b w:val="0"/>
          <w:i w:val="0"/>
          <w:sz w:val="28"/>
        </w:rPr>
        <w:t xml:space="preserve">, como consta en </w:t>
      </w:r>
      <w:r>
        <w:rPr>
          <w:rFonts w:ascii="Arial" w:hAnsi="Arial"/>
          <w:b/>
          <w:i w:val="0"/>
          <w:sz w:val="28"/>
        </w:rPr>
        <w:t>[DOCUMENTO QUE ACREDITA EL DEPÓSITO]</w:t>
      </w:r>
      <w:r>
        <w:rPr>
          <w:rFonts w:ascii="Arial" w:hAnsi="Arial"/>
          <w:b w:val="0"/>
          <w:i w:val="0"/>
          <w:sz w:val="28"/>
        </w:rPr>
        <w:t>.</w:t>
      </w:r>
    </w:p>
    <w:p>
      <w:pPr>
        <w:spacing w:line="360" w:lineRule="auto"/>
        <w:jc w:val="both"/>
      </w:pPr>
      <w:r>
        <w:rPr>
          <w:rFonts w:ascii="Arial" w:hAnsi="Arial"/>
          <w:b w:val="0"/>
          <w:i w:val="0"/>
          <w:sz w:val="28"/>
        </w:rPr>
        <w:t>La emisión y la notificación de la resolución, y con mayor razón el depósito, son posteriores al vencimiento del plazo. La subsunción es directa: la devolución se efectuó fuera del plazo del artículo 22, supuesto exacto del artículo 22-A, primer párrafo, que obligaba a la autoridad a pagar intereses desde el día siguiente al vencimiento. Al autorizar el principal y callar sobre los intereses, la autoridad dejó de aplicar esta última disposición.</w:t>
      </w:r>
    </w:p>
    <w:p>
      <w:pPr>
        <w:spacing w:line="360" w:lineRule="auto"/>
        <w:jc w:val="both"/>
      </w:pPr>
      <w:r>
        <w:rPr>
          <w:rFonts w:ascii="Arial" w:hAnsi="Arial"/>
          <w:b w:val="0"/>
          <w:i w:val="0"/>
          <w:sz w:val="28"/>
        </w:rPr>
        <w:t>Frente a ello, es previsible que la autoridad sostenga que la resolución fue favorable a la parte actora porque autorizó la devolución solicitada, de modo que no le causa afectación y ninguna sentencia podría otorgarle un beneficio mayor al que ya obtuvo. Ese razonamiento es inválido por dos razones lógicas y una procesal.</w:t>
      </w:r>
    </w:p>
    <w:p>
      <w:pPr>
        <w:spacing w:line="360" w:lineRule="auto"/>
        <w:jc w:val="both"/>
      </w:pPr>
      <w:r>
        <w:rPr>
          <w:rFonts w:ascii="Arial" w:hAnsi="Arial"/>
          <w:b w:val="0"/>
          <w:i w:val="0"/>
          <w:sz w:val="28"/>
        </w:rPr>
        <w:t>En primer lugar, incurre en la falacia de eludir la cuestión, conocida como ignoratio elenchi, que consiste en probar otra cosa diferente de la que se cuestiona.</w:t>
      </w:r>
      <w:r>
        <w:rPr>
          <w:rFonts w:ascii="Arial" w:hAnsi="Arial"/>
          <w:vertAlign w:val="superscript"/>
        </w:rPr>
        <w:t>5</w:t>
      </w:r>
      <w:r>
        <w:rPr>
          <w:rFonts w:ascii="Arial" w:hAnsi="Arial"/>
          <w:b w:val="0"/>
          <w:i w:val="0"/>
          <w:sz w:val="28"/>
        </w:rPr>
        <w:t xml:space="preserve"> La parte actora no discute que se le haya autorizado el principal; reclama que no se le pagaron los intereses causados por el retraso. Demostrar que la devolución se autorizó responde una pregunta que nadie formuló y deja intacta la única que integra la litis: si la devolución se efectuó fuera de plazo y si, por ello, se deben intereses.</w:t>
      </w:r>
    </w:p>
    <w:p>
      <w:pPr>
        <w:spacing w:line="360" w:lineRule="auto"/>
        <w:jc w:val="both"/>
      </w:pPr>
      <w:r>
        <w:rPr>
          <w:rFonts w:ascii="Arial" w:hAnsi="Arial"/>
          <w:b w:val="0"/>
          <w:i w:val="0"/>
          <w:sz w:val="28"/>
        </w:rPr>
        <w:t>En segundo lugar, el argumento incurre en la falacia de composición, que atribuye a un conjunto cosas que solamente son ciertas en las partes.</w:t>
      </w:r>
      <w:r>
        <w:rPr>
          <w:rFonts w:ascii="Arial" w:hAnsi="Arial"/>
          <w:vertAlign w:val="superscript"/>
        </w:rPr>
        <w:t>6</w:t>
      </w:r>
      <w:r>
        <w:rPr>
          <w:rFonts w:ascii="Arial" w:hAnsi="Arial"/>
          <w:b w:val="0"/>
          <w:i w:val="0"/>
          <w:sz w:val="28"/>
        </w:rPr>
        <w:t xml:space="preserve"> La resolución contiene dos decisiones: una expresa, que autoriza el principal, y otra tácita, que niega los intereses. Que la primera sea favorable no vuelve favorable a la segunda ni al acto en su conjunto, y trasladar el signo de una parte al todo es precisamente el salto que la lógica prohíbe.</w:t>
      </w:r>
    </w:p>
    <w:p>
      <w:pPr>
        <w:spacing w:line="360" w:lineRule="auto"/>
        <w:jc w:val="both"/>
      </w:pPr>
      <w:r>
        <w:rPr>
          <w:rFonts w:ascii="Arial" w:hAnsi="Arial"/>
          <w:b w:val="0"/>
          <w:i w:val="0"/>
          <w:sz w:val="28"/>
        </w:rPr>
        <w:t>En tercer lugar, el argumento confunde la procedencia del juicio con su resultado. Cuando la autoridad afirma que la parte actora no puede obtener un beneficio mayor, lo que en verdad sostiene es que carece de derecho a los intereses, y esa afirmación sólo puede examinarse al estudiar el fondo. Una defensa que depende de resolver la controversia no puede servir, al mismo tiempo, para impedir que se resuelva.</w:t>
      </w:r>
    </w:p>
    <w:p>
      <w:pPr>
        <w:spacing w:line="360" w:lineRule="auto"/>
        <w:jc w:val="both"/>
      </w:pPr>
      <w:r>
        <w:rPr>
          <w:rFonts w:ascii="Arial" w:hAnsi="Arial"/>
          <w:b w:val="0"/>
          <w:i w:val="0"/>
          <w:sz w:val="28"/>
        </w:rPr>
        <w:t xml:space="preserve">A ello se suma que, si al contestar la demanda la autoridad pretendiera justificar el retraso con un requerimiento no mencionado en la resolución o con la supuesta falta de algún dato de la solicitud, introduciría motivos que el acto impugnado no contiene. El artículo 22 de la Ley Federal de Procedimiento Contencioso Administrativo dispone que </w:t>
      </w:r>
      <w:r>
        <w:rPr>
          <w:rFonts w:ascii="Arial" w:hAnsi="Arial"/>
          <w:b w:val="0"/>
          <w:i/>
          <w:sz w:val="28"/>
        </w:rPr>
        <w:t>“En la contestación de la demanda no podrán cambiarse los fundamentos de derecho de la resolución impugnada”</w:t>
      </w:r>
      <w:r>
        <w:rPr>
          <w:rFonts w:ascii="Arial" w:hAnsi="Arial"/>
          <w:b w:val="0"/>
          <w:i w:val="0"/>
          <w:sz w:val="28"/>
        </w:rPr>
        <w:t>, y la resolución, que autorizó la devolución en sus términos, no invocó ninguna de esas circunstancias.</w:t>
      </w:r>
    </w:p>
    <w:p>
      <w:pPr>
        <w:spacing w:line="360" w:lineRule="auto"/>
        <w:jc w:val="both"/>
      </w:pPr>
      <w:r>
        <w:rPr>
          <w:rFonts w:ascii="Arial" w:hAnsi="Arial"/>
          <w:b w:val="0"/>
          <w:i w:val="0"/>
          <w:sz w:val="28"/>
        </w:rPr>
        <w:t>En todo caso, el periodo que la ley excluye del cómputo cuando hay un requerimiento es el que media entre la notificación del primer requerimiento y la fecha en que la información se proporciona en su totalidad, de modo que cualquier requerimiento que se invoque tendría que acreditarse con su constancia de notificación y con la fecha de su cumplimiento; aun descontado ese lapso, la autoridad tendría que demostrar que resolvió y devolvió dentro del plazo restante.</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la solicitud de devolución se presentó con todos los datos; ningún requerimiento ni ejercicio de facultades de comprobación suspendió el plazo de cuarenta días del artículo 22 del Código Fiscal de la Federación; la resolución y la devolución llegaron después de su vencimiento; y la autoridad, al guardar silencio sobre los intereses, negó tácitamente una prestación que el artículo 22-A le ordenaba pagar. La resolución impugnada dejó de aplicar la disposición debida en cuanto al fondo del asunto.</w:t>
      </w:r>
    </w:p>
    <w:p>
      <w:pPr>
        <w:spacing w:line="360" w:lineRule="auto"/>
        <w:jc w:val="both"/>
      </w:pPr>
      <w:r>
        <w:rPr>
          <w:rFonts w:ascii="Arial" w:hAnsi="Arial"/>
          <w:b w:val="0"/>
          <w:i w:val="0"/>
          <w:sz w:val="28"/>
        </w:rPr>
        <w:t>Por lo expuesto, se solicita a esa Sala declarar fundado este concepto y, con fundamento en los artículos 50, 51, fracción IV, y 52, fracción V, inciso a), de la Ley Federal de Procedimiento Contencioso Administrativo, declarar la nulidad de la resolución impugnada en la porción que omitió los intereses, reconocer el derecho subjetivo de la parte actora a su pago y condenar a la autoridad a cubrir los intereses del artículo 22-A, primer párrafo, del Código Fiscal de la Federación, desde el día siguiente a aquél en que venció el plazo de cuarenta días y hasta la fecha en que se efectuó la devolución.</w:t>
      </w:r>
    </w:p>
    <w:p>
      <w:pPr>
        <w:spacing w:line="360" w:lineRule="auto"/>
        <w:jc w:val="both"/>
      </w:pPr>
      <w:r>
        <w:rPr>
          <w:rFonts w:ascii="Arial" w:hAnsi="Arial"/>
          <w:b w:val="0"/>
          <w:i w:val="0"/>
          <w:sz w:val="28"/>
        </w:rPr>
        <w:t>Para el caso de que esa Sala estime que la cuantificación corresponde a la autoridad, se solicita que, en la porción del artículo 52, fracción IV, de la misma ley que permite indicar los términos conforme a los cuales la autoridad deberá dictar su resolución, se precise que la nueva resolución reitere lo que no fue materia de controversia y determine y pague los intereses por el periodo señalado, sin desconocer el derecho ya constatado en la sentencia.</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 p. 414.</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180.</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TARUFFO, Michele, </w:t>
      </w:r>
      <w:r>
        <w:rPr>
          <w:rFonts w:ascii="Arial" w:hAnsi="Arial"/>
          <w:i/>
          <w:sz w:val="20"/>
        </w:rPr>
        <w:t>Verdad, prueba y motivación en la decisión sobre los hechos</w:t>
      </w:r>
      <w:r>
        <w:rPr>
          <w:rFonts w:ascii="Arial" w:hAnsi="Arial"/>
          <w:i w:val="0"/>
          <w:sz w:val="20"/>
        </w:rPr>
        <w:t>, Tribunal Electoral del Poder Judicial de la Federación, México, 2013, p. 104.</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 p. 68.</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38.</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GARCÍA DAMBORENEA, op. cit.</w:t>
      </w:r>
      <w:r>
        <w:rPr>
          <w:rFonts w:ascii="Arial" w:hAnsi="Arial"/>
          <w:i w:val="0"/>
          <w:sz w:val="20"/>
        </w:rPr>
        <w:t>, p. 22.</w:t>
      </w:r>
    </w:p>
    <w:p/>
    <w:p>
      <w:r>
        <w:rPr>
          <w:rFonts w:ascii="Arial" w:hAnsi="Arial"/>
          <w:b/>
          <w:sz w:val="22"/>
        </w:rPr>
        <w:t>BIBLIOGRAFÍA</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w:t>
      </w:r>
    </w:p>
    <w:p>
      <w:pPr>
        <w:spacing w:after="60"/>
        <w:ind w:left="360" w:hanging="360"/>
        <w:jc w:val="both"/>
      </w:pPr>
      <w:r>
        <w:rPr>
          <w:rFonts w:ascii="Arial" w:hAnsi="Arial"/>
          <w:i w:val="0"/>
          <w:sz w:val="20"/>
        </w:rPr>
        <w:t xml:space="preserve">TARUFFO, Michele, </w:t>
      </w:r>
      <w:r>
        <w:rPr>
          <w:rFonts w:ascii="Arial" w:hAnsi="Arial"/>
          <w:i/>
          <w:sz w:val="20"/>
        </w:rPr>
        <w:t>Verdad, prueba y motivación en la decisión sobre los hechos</w:t>
      </w:r>
      <w:r>
        <w:rPr>
          <w:rFonts w:ascii="Arial" w:hAnsi="Arial"/>
          <w:i w:val="0"/>
          <w:sz w:val="20"/>
        </w:rPr>
        <w:t>, Tribunal Electoral del Poder Judicial de la Federación, México, 2013.</w:t>
      </w:r>
    </w:p>
    <w:p>
      <w:pPr>
        <w:spacing w:after="60"/>
        <w:ind w:left="360" w:hanging="360"/>
        <w:jc w:val="both"/>
      </w:pP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