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PRESCRIPCIÓN DEL CRÉDITO FISCAL Y COSA JUZGADA REFLEJA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Primero reúne tres documentos: la resolución que negó la declaratoria de prescripción, las constancias del procedimiento administrativo de ejecución que acrediten cuál fue la última gestión de cobro y, si existe, la copia certificada de la sentencia en que el Tribunal ya declaró prescrito el mismo crédito, con la constancia de que quedó firme. Después reconstruye la línea de tiempo y coteja el plazo en el texto vigente del artículo 146 del Código Fiscal de la Federación; revisa también si algún medio de defensa o acto de la autoridad pudo interrumpir o suspender el cómputo, porque ésa es la defensa habitual del fisco.</w:t>
      </w:r>
    </w:p>
    <w:p>
      <w:pPr>
        <w:spacing w:line="360" w:lineRule="auto"/>
        <w:jc w:val="both"/>
      </w:pPr>
      <w:r>
        <w:rPr>
          <w:rFonts w:ascii="Arial" w:hAnsi="Arial"/>
          <w:b w:val="0"/>
          <w:i w:val="0"/>
          <w:sz w:val="24"/>
        </w:rPr>
        <w:t>Si no cuentas con una sentencia previa sobre el mismo crédito, conserva la primera vía del concepto, la del cómputo del plazo, y suprime los párrafos de cosa juzgada refleja. Si la sentencia previa todavía no está firme, ofrece su copia y presenta la constancia de firmeza como prueba superveniente en cuanto la obtengas, siempre antes de que se dicte sentencia. Determina primero la vía del juicio y recuerda que, en la ordinaria, la demanda se presenta dentro de los treinta días siguientes a aquél en que surta efectos la notificación de la negativa, conforme al artículo 13, fracción I, inciso a), de la Ley Federal de Procedimiento Contencioso Administrativo, y que en la sumaria el plazo también es de treinta días, conforme al artículo 58-2, párrafo tercero, del mismo ordenamiento.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colócalo en primer lugar si es el de mayor beneficio.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negó la declaratoria de prescripción.</w:t>
      </w:r>
    </w:p>
    <w:p>
      <w:pPr>
        <w:spacing w:line="360" w:lineRule="auto"/>
        <w:jc w:val="both"/>
      </w:pPr>
      <w:r>
        <w:rPr>
          <w:rFonts w:ascii="Arial" w:hAnsi="Arial"/>
          <w:b/>
          <w:i w:val="0"/>
          <w:sz w:val="24"/>
        </w:rPr>
        <w:t>[FECHA DE LA RESOLUCIÓN IMPUGNADA]</w:t>
      </w:r>
      <w:r>
        <w:rPr>
          <w:rFonts w:ascii="Arial" w:hAnsi="Arial"/>
          <w:b w:val="0"/>
          <w:i w:val="0"/>
          <w:sz w:val="24"/>
        </w:rPr>
        <w:t>: la fecha de ese oficio, tal como aparece en él.</w:t>
      </w:r>
    </w:p>
    <w:p>
      <w:pPr>
        <w:spacing w:line="360" w:lineRule="auto"/>
        <w:jc w:val="both"/>
      </w:pPr>
      <w:r>
        <w:rPr>
          <w:rFonts w:ascii="Arial" w:hAnsi="Arial"/>
          <w:b/>
          <w:i w:val="0"/>
          <w:sz w:val="24"/>
        </w:rPr>
        <w:t>[AUTORIDAD DEMANDADA]</w:t>
      </w:r>
      <w:r>
        <w:rPr>
          <w:rFonts w:ascii="Arial" w:hAnsi="Arial"/>
          <w:b w:val="0"/>
          <w:i w:val="0"/>
          <w:sz w:val="24"/>
        </w:rPr>
        <w:t>: la unidad administrativa que emitió la negativa, con su denominación completa.</w:t>
      </w:r>
    </w:p>
    <w:p>
      <w:pPr>
        <w:spacing w:line="360" w:lineRule="auto"/>
        <w:jc w:val="both"/>
      </w:pPr>
      <w:r>
        <w:rPr>
          <w:rFonts w:ascii="Arial" w:hAnsi="Arial"/>
          <w:b/>
          <w:i w:val="0"/>
          <w:sz w:val="24"/>
        </w:rPr>
        <w:t>[NOMBRE DE LA PARTE ACTORA]</w:t>
      </w:r>
      <w:r>
        <w:rPr>
          <w:rFonts w:ascii="Arial" w:hAnsi="Arial"/>
          <w:b w:val="0"/>
          <w:i w:val="0"/>
          <w:sz w:val="24"/>
        </w:rPr>
        <w:t>: el nombre o la razón social de quien solicitó la prescripción.</w:t>
      </w:r>
    </w:p>
    <w:p>
      <w:pPr>
        <w:spacing w:line="360" w:lineRule="auto"/>
        <w:jc w:val="both"/>
      </w:pPr>
      <w:r>
        <w:rPr>
          <w:rFonts w:ascii="Arial" w:hAnsi="Arial"/>
          <w:b/>
          <w:i w:val="0"/>
          <w:sz w:val="24"/>
        </w:rPr>
        <w:t>[NÚMERO Y FECHA DEL OFICIO DETERMINANTE DEL CRÉDITO FISCAL]</w:t>
      </w:r>
      <w:r>
        <w:rPr>
          <w:rFonts w:ascii="Arial" w:hAnsi="Arial"/>
          <w:b w:val="0"/>
          <w:i w:val="0"/>
          <w:sz w:val="24"/>
        </w:rPr>
        <w:t>: el oficio que determinó el crédito cuya prescripción se pide, con su fecha; cópialos del documento, porque un error de año cambia el cómputo.</w:t>
      </w:r>
    </w:p>
    <w:p>
      <w:pPr>
        <w:spacing w:line="360" w:lineRule="auto"/>
        <w:jc w:val="both"/>
      </w:pPr>
      <w:r>
        <w:rPr>
          <w:rFonts w:ascii="Arial" w:hAnsi="Arial"/>
          <w:b/>
          <w:i w:val="0"/>
          <w:sz w:val="24"/>
        </w:rPr>
        <w:t>[FECHA Y DESCRIPCIÓN DE LA ÚLTIMA GESTIÓN DE COBRO]</w:t>
      </w:r>
      <w:r>
        <w:rPr>
          <w:rFonts w:ascii="Arial" w:hAnsi="Arial"/>
          <w:b w:val="0"/>
          <w:i w:val="0"/>
          <w:sz w:val="24"/>
        </w:rPr>
        <w:t>: la última diligencia de cobro realmente practicada y notificada, por ejemplo un requerimiento de pago o un acta de embargo, con su fecha.</w:t>
      </w:r>
    </w:p>
    <w:p>
      <w:pPr>
        <w:spacing w:line="360" w:lineRule="auto"/>
        <w:jc w:val="both"/>
      </w:pPr>
      <w:r>
        <w:rPr>
          <w:rFonts w:ascii="Arial" w:hAnsi="Arial"/>
          <w:b/>
          <w:i w:val="0"/>
          <w:sz w:val="24"/>
        </w:rPr>
        <w:t>[FECHA DE LA SOLICITUD DE DECLARATORIA DE PRESCRIPCIÓN]</w:t>
      </w:r>
      <w:r>
        <w:rPr>
          <w:rFonts w:ascii="Arial" w:hAnsi="Arial"/>
          <w:b w:val="0"/>
          <w:i w:val="0"/>
          <w:sz w:val="24"/>
        </w:rPr>
        <w:t>: el día en que presentaste la solicitud ante la autoridad.</w:t>
      </w:r>
    </w:p>
    <w:p>
      <w:pPr>
        <w:spacing w:line="360" w:lineRule="auto"/>
        <w:jc w:val="both"/>
      </w:pPr>
      <w:r>
        <w:rPr>
          <w:rFonts w:ascii="Arial" w:hAnsi="Arial"/>
          <w:b/>
          <w:i w:val="0"/>
          <w:sz w:val="24"/>
        </w:rPr>
        <w:t>[TIEMPO TRANSCURRIDO SIN GESTIÓN DE COBRO]</w:t>
      </w:r>
      <w:r>
        <w:rPr>
          <w:rFonts w:ascii="Arial" w:hAnsi="Arial"/>
          <w:b w:val="0"/>
          <w:i w:val="0"/>
          <w:sz w:val="24"/>
        </w:rPr>
        <w:t>: los años, meses y días que corrieron entre la última gestión y la solicitud, calculados sobre tus constancias.</w:t>
      </w:r>
    </w:p>
    <w:p>
      <w:pPr>
        <w:spacing w:line="360" w:lineRule="auto"/>
        <w:jc w:val="both"/>
      </w:pPr>
      <w:r>
        <w:rPr>
          <w:rFonts w:ascii="Arial" w:hAnsi="Arial"/>
          <w:b/>
          <w:i w:val="0"/>
          <w:sz w:val="24"/>
        </w:rPr>
        <w:t>[VERIFICAR PLAZO APLICABLE]</w:t>
      </w:r>
      <w:r>
        <w:rPr>
          <w:rFonts w:ascii="Arial" w:hAnsi="Arial"/>
          <w:b w:val="0"/>
          <w:i w:val="0"/>
          <w:sz w:val="24"/>
        </w:rPr>
        <w:t>: el plazo de prescripción que fija el artículo 146 del Código Fiscal de la Federación, cotejado en el texto vigente del precepto antes de presentar la demanda.</w:t>
      </w:r>
    </w:p>
    <w:p>
      <w:pPr>
        <w:spacing w:line="360" w:lineRule="auto"/>
        <w:jc w:val="both"/>
      </w:pPr>
      <w:r>
        <w:rPr>
          <w:rFonts w:ascii="Arial" w:hAnsi="Arial"/>
          <w:b/>
          <w:i w:val="0"/>
          <w:sz w:val="24"/>
        </w:rPr>
        <w:t>[NÚMERO DEL JUICIO PREVIO Y SALA QUE LO RESOLVIÓ]</w:t>
      </w:r>
      <w:r>
        <w:rPr>
          <w:rFonts w:ascii="Arial" w:hAnsi="Arial"/>
          <w:b w:val="0"/>
          <w:i w:val="0"/>
          <w:sz w:val="24"/>
        </w:rPr>
        <w:t>: el expediente del juicio en que otra Sala, o la misma, ya declaró prescrito el crédito, y el nombre de esa Sala.</w:t>
      </w:r>
    </w:p>
    <w:p>
      <w:pPr>
        <w:spacing w:line="360" w:lineRule="auto"/>
        <w:jc w:val="both"/>
      </w:pPr>
      <w:r>
        <w:rPr>
          <w:rFonts w:ascii="Arial" w:hAnsi="Arial"/>
          <w:b/>
          <w:i w:val="0"/>
          <w:sz w:val="24"/>
        </w:rPr>
        <w:t>[FECHA DE LA SENTENCIA PREVIA]</w:t>
      </w:r>
      <w:r>
        <w:rPr>
          <w:rFonts w:ascii="Arial" w:hAnsi="Arial"/>
          <w:b w:val="0"/>
          <w:i w:val="0"/>
          <w:sz w:val="24"/>
        </w:rPr>
        <w:t>: la fecha de la sentencia que declaró la prescripción.</w:t>
      </w:r>
    </w:p>
    <w:p>
      <w:pPr>
        <w:spacing w:line="360" w:lineRule="auto"/>
        <w:jc w:val="both"/>
      </w:pPr>
      <w:r>
        <w:rPr>
          <w:rFonts w:ascii="Arial" w:hAnsi="Arial"/>
          <w:b/>
          <w:i w:val="0"/>
          <w:sz w:val="24"/>
        </w:rPr>
        <w:t>[CONSTANCIA DE FIRMEZA DE LA SENTENCIA PREVIA]</w:t>
      </w:r>
      <w:r>
        <w:rPr>
          <w:rFonts w:ascii="Arial" w:hAnsi="Arial"/>
          <w:b w:val="0"/>
          <w:i w:val="0"/>
          <w:sz w:val="24"/>
        </w:rPr>
        <w:t>: el acuerdo que declaró firme esa sentencia o la ejecutoria que resolvió el recurso interpuesto contra ella.</w:t>
      </w:r>
    </w:p>
    <w:p>
      <w:pPr>
        <w:spacing w:line="360" w:lineRule="auto"/>
        <w:jc w:val="both"/>
      </w:pPr>
      <w:r>
        <w:rPr>
          <w:rFonts w:ascii="Arial" w:hAnsi="Arial"/>
          <w:b/>
          <w:i w:val="0"/>
          <w:sz w:val="24"/>
        </w:rPr>
        <w:t>[ARGUMENTO DE LA AUTORIDAD PARA NEGAR LA PRESCRIPCIÓN]</w:t>
      </w:r>
      <w:r>
        <w:rPr>
          <w:rFonts w:ascii="Arial" w:hAnsi="Arial"/>
          <w:b w:val="0"/>
          <w:i w:val="0"/>
          <w:sz w:val="24"/>
        </w:rPr>
        <w:t>: la razón concreta de la negativa, parafraseada con fidelidad: interrupción del plazo, suspensión por un medio de defensa, firmeza del crédito u otra.</w:t>
      </w:r>
    </w:p>
    <w:p/>
    <w:p>
      <w:pPr>
        <w:spacing w:line="360" w:lineRule="auto"/>
        <w:jc w:val="both"/>
      </w:pPr>
      <w:r>
        <w:rPr>
          <w:rFonts w:ascii="Arial" w:hAnsi="Arial"/>
          <w:b/>
          <w:sz w:val="28"/>
        </w:rPr>
        <w:t>[NÚMERO ORDINAL DEL CONCEPTO] CONCEPTO DE IMPUGNACIÓN. La resolución que niega declarar prescrito el crédito fiscal es ilegal, porque las facultades de cobro de la autoridad se extinguieron en términos del artículo 146 del Código Fiscal de la Federación, extremo que este Tribunal ya declaró en sentencia firme cuya eficacia refleja de cosa juzgada obliga a resolver en el mismo sentido, de modo que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por la que se declaró improcedente la solicitud de </w:t>
      </w:r>
      <w:r>
        <w:rPr>
          <w:rFonts w:ascii="Arial" w:hAnsi="Arial"/>
          <w:b/>
          <w:i w:val="0"/>
          <w:sz w:val="28"/>
        </w:rPr>
        <w:t>[NOMBRE DE LA PARTE ACTORA]</w:t>
      </w:r>
      <w:r>
        <w:rPr>
          <w:rFonts w:ascii="Arial" w:hAnsi="Arial"/>
          <w:b w:val="0"/>
          <w:i w:val="0"/>
          <w:sz w:val="28"/>
        </w:rPr>
        <w:t xml:space="preserve"> para que se reconociera la prescripción del crédito fiscal contenido en el oficio </w:t>
      </w:r>
      <w:r>
        <w:rPr>
          <w:rFonts w:ascii="Arial" w:hAnsi="Arial"/>
          <w:b/>
          <w:i w:val="0"/>
          <w:sz w:val="28"/>
        </w:rPr>
        <w:t>[NÚMERO Y FECHA DEL OFICIO DETERMINANTE DEL CRÉDITO FISCAL]</w:t>
      </w:r>
      <w:r>
        <w:rPr>
          <w:rFonts w:ascii="Arial" w:hAnsi="Arial"/>
          <w:b w:val="0"/>
          <w:i w:val="0"/>
          <w:sz w:val="28"/>
        </w:rPr>
        <w:t>, desconoce una extinción consumada que un órgano jurisdiccional de este mismo Tribunal ya declaró.</w:t>
      </w:r>
    </w:p>
    <w:p>
      <w:pPr>
        <w:spacing w:line="360" w:lineRule="auto"/>
        <w:jc w:val="both"/>
      </w:pPr>
      <w:r>
        <w:rPr>
          <w:rFonts w:ascii="Arial" w:hAnsi="Arial"/>
          <w:b w:val="0"/>
          <w:i w:val="0"/>
          <w:sz w:val="28"/>
        </w:rPr>
        <w:t xml:space="preserve">La demostración corre por dos vías que se refuerzan entre sí. La primera es temporal: desde </w:t>
      </w:r>
      <w:r>
        <w:rPr>
          <w:rFonts w:ascii="Arial" w:hAnsi="Arial"/>
          <w:b/>
          <w:i w:val="0"/>
          <w:sz w:val="28"/>
        </w:rPr>
        <w:t>[FECHA Y DESCRIPCIÓN DE LA ÚLTIMA GESTIÓN DE COBRO]</w:t>
      </w:r>
      <w:r>
        <w:rPr>
          <w:rFonts w:ascii="Arial" w:hAnsi="Arial"/>
          <w:b w:val="0"/>
          <w:i w:val="0"/>
          <w:sz w:val="28"/>
        </w:rPr>
        <w:t xml:space="preserve">, la autoridad no realizó acto alguno tendiente a hacer efectivo el crédito, de manera que el plazo del artículo 146 del Código Fiscal de la Federación se agotó antes de que se pidiera la declaratoria. La segunda es procesal: en el juicio </w:t>
      </w:r>
      <w:r>
        <w:rPr>
          <w:rFonts w:ascii="Arial" w:hAnsi="Arial"/>
          <w:b/>
          <w:i w:val="0"/>
          <w:sz w:val="28"/>
        </w:rPr>
        <w:t>[NÚMERO DEL JUICIO PREVIO Y SALA QUE LO RESOLVIÓ]</w:t>
      </w:r>
      <w:r>
        <w:rPr>
          <w:rFonts w:ascii="Arial" w:hAnsi="Arial"/>
          <w:b w:val="0"/>
          <w:i w:val="0"/>
          <w:sz w:val="28"/>
        </w:rPr>
        <w:t xml:space="preserve">, por sentencia de </w:t>
      </w:r>
      <w:r>
        <w:rPr>
          <w:rFonts w:ascii="Arial" w:hAnsi="Arial"/>
          <w:b/>
          <w:i w:val="0"/>
          <w:sz w:val="28"/>
        </w:rPr>
        <w:t>[FECHA DE LA SENTENCIA PREVIA]</w:t>
      </w:r>
      <w:r>
        <w:rPr>
          <w:rFonts w:ascii="Arial" w:hAnsi="Arial"/>
          <w:b w:val="0"/>
          <w:i w:val="0"/>
          <w:sz w:val="28"/>
        </w:rPr>
        <w:t>, este Tribunal ya determinó que ese mismo crédito se encuentra prescrito.</w:t>
      </w:r>
    </w:p>
    <w:p>
      <w:pPr>
        <w:spacing w:line="360" w:lineRule="auto"/>
        <w:jc w:val="both"/>
      </w:pPr>
      <w:r>
        <w:rPr>
          <w:rFonts w:ascii="Arial" w:hAnsi="Arial"/>
          <w:b w:val="0"/>
          <w:i w:val="0"/>
          <w:sz w:val="28"/>
        </w:rPr>
        <w:t>Aunque el acto combatido en aquel juicio y el que ahora se impugna son formalmente distintos, la pretensión de fondo coincide en ambos: saber si se extinguieron las facultades de la autoridad para cobrar el crédito. Esa coincidencia activa la eficacia refleja de la cosa juzgada, que obliga a la Sala a asumir lo ya resuelto para no dictar sentencias contradictorias y conduce a la nulidad lisa y llana de la resolución impugnada.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precisada en la síntesis de este concepto, en la que la autoridad sostuvo, en esencia, </w:t>
      </w:r>
      <w:r>
        <w:rPr>
          <w:rFonts w:ascii="Arial" w:hAnsi="Arial"/>
          <w:b/>
          <w:i w:val="0"/>
          <w:sz w:val="28"/>
        </w:rPr>
        <w:t>[ARGUMENTO DE LA AUTORIDAD PARA NEGAR LA PRESCRIPCIÓN]</w:t>
      </w:r>
      <w:r>
        <w:rPr>
          <w:rFonts w:ascii="Arial" w:hAnsi="Arial"/>
          <w:b w:val="0"/>
          <w:i w:val="0"/>
          <w:sz w:val="28"/>
        </w:rPr>
        <w:t>. Con esa determinación negó la extinción del crédito y mantuvo abierta la posibilidad de continuar el procedimiento administrativo de ejecución sobre el patrimonio de la parte actora.</w:t>
      </w:r>
    </w:p>
    <w:p>
      <w:pPr>
        <w:spacing w:line="360" w:lineRule="auto"/>
        <w:jc w:val="both"/>
      </w:pPr>
      <w:r>
        <w:rPr>
          <w:rFonts w:ascii="Arial" w:hAnsi="Arial"/>
          <w:b w:val="0"/>
          <w:i w:val="0"/>
          <w:sz w:val="28"/>
        </w:rPr>
        <w:t>La norma sustantiva cuya inobservancia se plantea es el artículo 146 del Código Fiscal de la Federación, que regula la extinción del crédito fiscal por prescripción. En el plano procesal se invocan los artículos 46, fracción I, y 50, párrafos primero y segundo, de la Ley Federal de Procedimiento Contencioso Administrativo, que otorgan prueba plena a los hechos legalmente afirmados por autoridad en documentos públicos, facultan al Tribunal para invocar hechos notorios y le ordenan examinar primero las causales que conducen a la nulidad lisa y llana.</w:t>
      </w:r>
    </w:p>
    <w:p>
      <w:pPr>
        <w:spacing w:line="360" w:lineRule="auto"/>
        <w:jc w:val="both"/>
      </w:pPr>
      <w:r>
        <w:rPr>
          <w:rFonts w:ascii="Arial" w:hAnsi="Arial"/>
          <w:b w:val="0"/>
          <w:i w:val="0"/>
          <w:sz w:val="28"/>
        </w:rPr>
        <w:t>Se invoca también el artículo 17 de la Constitución Política de los Estados Unidos Mexicanos, que reconoce el derecho a que la justicia se imparta mediante resoluciones prontas, completas e imparciales y ordena a las leyes garantizar la plena ejecución de las resoluciones de los tribunales, mandato que alcanza a las sentencias firmes de este Tribunal frente a los actos posteriores de la administración.</w:t>
      </w:r>
    </w:p>
    <w:p>
      <w:pPr>
        <w:spacing w:line="360" w:lineRule="auto"/>
        <w:jc w:val="both"/>
      </w:pPr>
      <w:r>
        <w:rPr>
          <w:rFonts w:ascii="Arial" w:hAnsi="Arial"/>
          <w:b w:val="0"/>
          <w:i w:val="0"/>
          <w:sz w:val="28"/>
        </w:rPr>
        <w:t>El perjuicio es directo: se mantiene a cargo de la parte actora un adeudo cuyo cobro coactivo ya no es jurídicamente posible y se le expone a nuevos actos de ejecución respecto de un crédito que este Tribunal ya declaró prescrito. De prosperar este concepto, el beneficio es el mayor posible en el juicio, porque la nulidad lisa y llana priva de todo efecto a la negativa impugnada.</w:t>
      </w:r>
    </w:p>
    <w:p>
      <w:pPr>
        <w:spacing w:line="360" w:lineRule="auto"/>
        <w:jc w:val="both"/>
      </w:pPr>
      <w:r>
        <w:rPr>
          <w:rFonts w:ascii="Arial" w:hAnsi="Arial"/>
          <w:b w:val="0"/>
          <w:i w:val="0"/>
          <w:sz w:val="28"/>
        </w:rPr>
        <w:t>Conviene anticipar dos objeciones de procedencia que suelen oponerse en estos asuntos. La primera es el consentimiento previsto en el artículo 8, fracción IV, de la Ley Federal de Procedimiento Contencioso Administrativo. La parte actora controvierte en este juicio la negativa a declarar la prescripción, acto distinto de la resolución determinante del crédito, cuyos fundamentos y motivos no se discuten aquí.</w:t>
      </w:r>
    </w:p>
    <w:p>
      <w:pPr>
        <w:spacing w:line="360" w:lineRule="auto"/>
        <w:jc w:val="both"/>
      </w:pPr>
      <w:r>
        <w:rPr>
          <w:rFonts w:ascii="Arial" w:hAnsi="Arial"/>
          <w:b w:val="0"/>
          <w:i w:val="0"/>
          <w:sz w:val="28"/>
        </w:rPr>
        <w:t>Como lo ha reconocido la Sala en casos análogos, esa causal se examina en función del acto impugnado, con independencia de lo tardía que pudiera parecer la pretensión de prescripción que formula el particular; la oportunidad de la demanda se mide, por tanto, respecto de la negativa, y ésta se impugna en tiempo.</w:t>
      </w:r>
    </w:p>
    <w:p>
      <w:pPr>
        <w:spacing w:line="360" w:lineRule="auto"/>
        <w:jc w:val="both"/>
      </w:pPr>
      <w:r>
        <w:rPr>
          <w:rFonts w:ascii="Arial" w:hAnsi="Arial"/>
          <w:b w:val="0"/>
          <w:i w:val="0"/>
          <w:sz w:val="28"/>
        </w:rPr>
        <w:t xml:space="preserve">La segunda es la litispendencia de la fracción V del mismo artículo 8, que supone un recurso o juicio pendiente de resolución ante una autoridad administrativa o ante el propio Tribunal. Como lo ha reconocido la Sala en casos análogos, esa causal exige identidad de partes y de acto impugnado y una controversia aún pendiente, mientras que el juicio </w:t>
      </w:r>
      <w:r>
        <w:rPr>
          <w:rFonts w:ascii="Arial" w:hAnsi="Arial"/>
          <w:b/>
          <w:i w:val="0"/>
          <w:sz w:val="28"/>
        </w:rPr>
        <w:t>[NÚMERO DEL JUICIO PREVIO Y SALA QUE LO RESOLVIÓ]</w:t>
      </w:r>
      <w:r>
        <w:rPr>
          <w:rFonts w:ascii="Arial" w:hAnsi="Arial"/>
          <w:b w:val="0"/>
          <w:i w:val="0"/>
          <w:sz w:val="28"/>
        </w:rPr>
        <w:t xml:space="preserve"> versó sobre un acto diverso y ya cuenta con sentencia definitiva.</w:t>
      </w:r>
    </w:p>
    <w:p>
      <w:pPr>
        <w:spacing w:line="360" w:lineRule="auto"/>
        <w:jc w:val="both"/>
      </w:pPr>
      <w:r>
        <w:rPr>
          <w:rFonts w:ascii="Arial" w:hAnsi="Arial"/>
          <w:b w:val="0"/>
          <w:i w:val="0"/>
          <w:sz w:val="28"/>
        </w:rPr>
        <w:t>El recurso de revisión que la autoridad llegue a interponer contra esa sentencia lo resuelve un Tribunal Colegiado de Circuito, órgano que la fracción V no menciona, de modo que tampoco por esa vía se actualiza la causal; la existencia de un fallo sobre el mismo crédito obliga a respetarlo en el fondo, tema que se desarrolla enseguida.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Conviene partir de la naturaleza de la institución. La prescripción, en su acepción general, consiste en la extinción de un derecho por el paso de un periodo determinado durante el cual su titular ni lo ejerce ni obtiene su reconocimiento.</w:t>
      </w:r>
      <w:r>
        <w:rPr>
          <w:rFonts w:ascii="Arial" w:hAnsi="Arial"/>
          <w:vertAlign w:val="superscript"/>
        </w:rPr>
        <w:t>1</w:t>
      </w:r>
      <w:r>
        <w:rPr>
          <w:rFonts w:ascii="Arial" w:hAnsi="Arial"/>
          <w:b w:val="0"/>
          <w:i w:val="0"/>
          <w:sz w:val="28"/>
        </w:rPr>
        <w:t xml:space="preserve"> Trasladada al derecho tributario, la figura opera contra la potestad de cobro del fisco: el crédito determinado no puede perseguirse de manera indefinida, y la inactividad de la autoridad durante el lapso que la ley le concede lo extingue.</w:t>
      </w:r>
    </w:p>
    <w:p>
      <w:pPr>
        <w:spacing w:line="360" w:lineRule="auto"/>
        <w:jc w:val="both"/>
      </w:pPr>
      <w:r>
        <w:rPr>
          <w:rFonts w:ascii="Arial" w:hAnsi="Arial"/>
          <w:b w:val="0"/>
          <w:i w:val="0"/>
          <w:sz w:val="28"/>
        </w:rPr>
        <w:t>El artículo 146 del Código Fiscal de la Federación recoge esa regla para los créditos fiscales. Como lo ha reconocido la Sala en casos análogos, el cómputo atiende a la última fecha en que el crédito fue legalmente exigible y a la última gestión de cobro efectivamente practicada, como la diligencia de un mandamiento de ejecución o un embargo; si desde entonces transcurre el plazo que fija el precepto sin que la autoridad realice acto alguno tendiente a hacer efectivo el cobro, sus facultades se extinguen.</w:t>
      </w:r>
    </w:p>
    <w:p>
      <w:pPr>
        <w:spacing w:line="360" w:lineRule="auto"/>
        <w:jc w:val="both"/>
      </w:pPr>
      <w:r>
        <w:rPr>
          <w:rFonts w:ascii="Arial" w:hAnsi="Arial"/>
          <w:b w:val="0"/>
          <w:i w:val="0"/>
          <w:sz w:val="28"/>
        </w:rPr>
        <w:t>La prueba de cualquier interrupción corresponde a quien la alega. El artículo 40, párrafo primero, de la Ley Federal de Procedimiento Contencioso Administrativo impone a la persona actora que pretende el reconocimiento de un derecho subjetivo la carga de probar los hechos de los que deriva y su violación, cuando ésta consista en hechos positivos, y a la demandada la de sus excepciones; a su vez, el artículo 42 del mismo ordenamiento obliga a las autoridades a probar los hechos que motivan sus actos cuando la persona afectada los niega lisa y llanamente.</w:t>
      </w:r>
    </w:p>
    <w:p>
      <w:pPr>
        <w:spacing w:line="360" w:lineRule="auto"/>
        <w:jc w:val="both"/>
      </w:pPr>
      <w:r>
        <w:rPr>
          <w:rFonts w:ascii="Arial" w:hAnsi="Arial"/>
          <w:b w:val="0"/>
          <w:i w:val="0"/>
          <w:sz w:val="28"/>
        </w:rPr>
        <w:t>La ausencia de gestiones de cobro es un hecho negativo que la parte actora no está en condiciones de acreditar con documentos que no existen. La existencia de alguna gestión capaz de interrumpir el plazo es, en cambio, una excepción que sólo la autoridad puede demostrar con las constancias del procedimiento administrativo de ejecución, con su fecha y con la prueba de su notificación.</w:t>
      </w:r>
    </w:p>
    <w:p>
      <w:pPr>
        <w:spacing w:line="360" w:lineRule="auto"/>
        <w:jc w:val="both"/>
      </w:pPr>
      <w:r>
        <w:rPr>
          <w:rFonts w:ascii="Arial" w:hAnsi="Arial"/>
          <w:b w:val="0"/>
          <w:i w:val="0"/>
          <w:sz w:val="28"/>
        </w:rPr>
        <w:t>La segunda vía descansa en la cosa juzgada. En su aspecto negativo, la institución excluye una nueva decisión entre las mismas partes y sobre el mismo objeto; en su aspecto positivo, la doctrina procesal la entiende como el efecto vinculante que la sentencia firme de un proceso anterior produce en otro posterior, cuando lo resuelto sobre una situación jurídica, sin ser la misma que ahora se somete al juzgador, condiciona la que se hace valer en el nuevo proceso.</w:t>
      </w:r>
      <w:r>
        <w:rPr>
          <w:rFonts w:ascii="Arial" w:hAnsi="Arial"/>
          <w:vertAlign w:val="superscript"/>
        </w:rPr>
        <w:t>2</w:t>
      </w:r>
    </w:p>
    <w:p>
      <w:pPr>
        <w:spacing w:line="360" w:lineRule="auto"/>
        <w:jc w:val="both"/>
      </w:pPr>
      <w:r>
        <w:rPr>
          <w:rFonts w:ascii="Arial" w:hAnsi="Arial"/>
          <w:b w:val="0"/>
          <w:i w:val="0"/>
          <w:sz w:val="28"/>
        </w:rPr>
        <w:t>Ése es el núcleo de la llamada eficacia refleja o indirecta de la cosa juzgada. Su aplicación exige que un punto decidido en la sentencia firme sea presupuesto indispensable del nuevo fallo, aunque los actos impugnados en uno y otro juicio sean distintos, de modo que el juzgador deba asumirlo como premisa para no contradecirlo.</w:t>
      </w:r>
    </w:p>
    <w:p>
      <w:pPr>
        <w:spacing w:line="360" w:lineRule="auto"/>
        <w:jc w:val="both"/>
      </w:pPr>
      <w:r>
        <w:rPr>
          <w:rFonts w:ascii="Arial" w:hAnsi="Arial"/>
          <w:b w:val="0"/>
          <w:i w:val="0"/>
          <w:sz w:val="28"/>
        </w:rPr>
        <w:t>La razón de ser de la institución es la seguridad jurídica. La perspectiva procesal actual ha dejado atrás la idea de la cosa juzgada como una verdad indiscutible y la asume en términos funcionales, como el impedimento de decidir de nuevo lo que ya se decidió, al grado de que sus desarrollos recientes describen el fenómeno en términos de preclusión, tanto de la pretensión como de las cuestiones ya decididas.</w:t>
      </w:r>
      <w:r>
        <w:rPr>
          <w:rFonts w:ascii="Arial" w:hAnsi="Arial"/>
          <w:vertAlign w:val="superscript"/>
        </w:rPr>
        <w:t>3</w:t>
      </w:r>
      <w:r>
        <w:rPr>
          <w:rFonts w:ascii="Arial" w:hAnsi="Arial"/>
          <w:b w:val="0"/>
          <w:i w:val="0"/>
          <w:sz w:val="28"/>
        </w:rPr>
        <w:t xml:space="preserve"> Esa preclusión de cuestiones describe lo que ocurre cuando dos actos distintos dependen de un mismo punto ya juzgado.</w:t>
      </w:r>
    </w:p>
    <w:p>
      <w:pPr>
        <w:spacing w:line="360" w:lineRule="auto"/>
        <w:jc w:val="both"/>
      </w:pPr>
      <w:r>
        <w:rPr>
          <w:rFonts w:ascii="Arial" w:hAnsi="Arial"/>
          <w:b w:val="0"/>
          <w:i w:val="0"/>
          <w:sz w:val="28"/>
        </w:rPr>
        <w:t>El orden jurídico mexicano da a esa exigencia fuerza normativa. La plena ejecución de las resoluciones jurisdiccionales que garantiza el artículo 17 constitucional quedaría vacía si una sentencia firme pudiera neutralizarse mediante un acto administrativo posterior que reabre, con otra denominación, la misma cuestión que el Tribunal ya resolvió.</w:t>
      </w:r>
    </w:p>
    <w:p>
      <w:pPr>
        <w:spacing w:line="360" w:lineRule="auto"/>
        <w:jc w:val="both"/>
      </w:pPr>
      <w:r>
        <w:rPr>
          <w:rFonts w:ascii="Arial" w:hAnsi="Arial"/>
          <w:b w:val="0"/>
          <w:i w:val="0"/>
          <w:sz w:val="28"/>
        </w:rPr>
        <w:t>A su vez, el artículo 46, fracción I, de la Ley Federal de Procedimiento Contencioso Administrativo otorga prueba plena a los hechos legalmente afirmados por autoridad en documentos públicos. Como lo ha reconocido la Sala en casos análogos, la sentencia dictada por otra Sala del propio Tribunal tiene pleno valor probatorio en términos de ese precepto y constituye, además, un hecho notorio idóneo para acreditar la ilegalidad de la resolución que niega la prescripción.</w:t>
      </w:r>
    </w:p>
    <w:p>
      <w:pPr>
        <w:spacing w:line="360" w:lineRule="auto"/>
        <w:jc w:val="both"/>
      </w:pPr>
      <w:r>
        <w:rPr>
          <w:rFonts w:ascii="Arial" w:hAnsi="Arial"/>
          <w:b w:val="0"/>
          <w:i w:val="0"/>
          <w:sz w:val="28"/>
        </w:rPr>
        <w:t>El artículo 50, párrafo primero, del mismo ordenamiento, en su texto vigente, faculta expresamente al Tribunal para invocar hechos notorios, y lo resuelto por una de sus Salas en diverso juicio lo es para el propio órgano jurisdiccional. El párrafo segundo de ese artículo le ordena examinar primero las causales de ilegalidad que puedan llevar a declarar la nulidad lisa y llana, lo que confirma el carácter preferente de este concepto.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con exactitud en esa premisa. El crédito fiscal contenido en el oficio </w:t>
      </w:r>
      <w:r>
        <w:rPr>
          <w:rFonts w:ascii="Arial" w:hAnsi="Arial"/>
          <w:b/>
          <w:i w:val="0"/>
          <w:sz w:val="28"/>
        </w:rPr>
        <w:t>[NÚMERO Y FECHA DEL OFICIO DETERMINANTE DEL CRÉDITO FISCAL]</w:t>
      </w:r>
      <w:r>
        <w:rPr>
          <w:rFonts w:ascii="Arial" w:hAnsi="Arial"/>
          <w:b w:val="0"/>
          <w:i w:val="0"/>
          <w:sz w:val="28"/>
        </w:rPr>
        <w:t xml:space="preserve"> fue objeto de actos de ejecución, el último de los cuales consistió en </w:t>
      </w:r>
      <w:r>
        <w:rPr>
          <w:rFonts w:ascii="Arial" w:hAnsi="Arial"/>
          <w:b/>
          <w:i w:val="0"/>
          <w:sz w:val="28"/>
        </w:rPr>
        <w:t>[FECHA Y DESCRIPCIÓN DE LA ÚLTIMA GESTIÓN DE COBRO]</w:t>
      </w:r>
      <w:r>
        <w:rPr>
          <w:rFonts w:ascii="Arial" w:hAnsi="Arial"/>
          <w:b w:val="0"/>
          <w:i w:val="0"/>
          <w:sz w:val="28"/>
        </w:rPr>
        <w:t>. A partir de esa diligencia, la autoridad no practicó ni notificó a la parte actora requerimiento, embargo ni acto alguno tendiente a hacer efectivo el cobro.</w:t>
      </w:r>
    </w:p>
    <w:p>
      <w:pPr>
        <w:spacing w:line="360" w:lineRule="auto"/>
        <w:jc w:val="both"/>
      </w:pPr>
      <w:r>
        <w:rPr>
          <w:rFonts w:ascii="Arial" w:hAnsi="Arial"/>
          <w:b w:val="0"/>
          <w:i w:val="0"/>
          <w:sz w:val="28"/>
        </w:rPr>
        <w:t xml:space="preserve">Cuando la parte actora solicitó la declaratoria de prescripción, el </w:t>
      </w:r>
      <w:r>
        <w:rPr>
          <w:rFonts w:ascii="Arial" w:hAnsi="Arial"/>
          <w:b/>
          <w:i w:val="0"/>
          <w:sz w:val="28"/>
        </w:rPr>
        <w:t>[FECHA DE LA SOLICITUD DE DECLARATORIA DE PRESCRIPCIÓN]</w:t>
      </w:r>
      <w:r>
        <w:rPr>
          <w:rFonts w:ascii="Arial" w:hAnsi="Arial"/>
          <w:b w:val="0"/>
          <w:i w:val="0"/>
          <w:sz w:val="28"/>
        </w:rPr>
        <w:t xml:space="preserve">, habían transcurrido </w:t>
      </w:r>
      <w:r>
        <w:rPr>
          <w:rFonts w:ascii="Arial" w:hAnsi="Arial"/>
          <w:b/>
          <w:i w:val="0"/>
          <w:sz w:val="28"/>
        </w:rPr>
        <w:t>[TIEMPO TRANSCURRIDO SIN GESTIÓN DE COBRO]</w:t>
      </w:r>
      <w:r>
        <w:rPr>
          <w:rFonts w:ascii="Arial" w:hAnsi="Arial"/>
          <w:b w:val="0"/>
          <w:i w:val="0"/>
          <w:sz w:val="28"/>
        </w:rPr>
        <w:t xml:space="preserve"> sin gestión de cobro alguna, lapso que excede el plazo de </w:t>
      </w:r>
      <w:r>
        <w:rPr>
          <w:rFonts w:ascii="Arial" w:hAnsi="Arial"/>
          <w:b/>
          <w:i w:val="0"/>
          <w:sz w:val="28"/>
        </w:rPr>
        <w:t>[VERIFICAR PLAZO APLICABLE]</w:t>
      </w:r>
      <w:r>
        <w:rPr>
          <w:rFonts w:ascii="Arial" w:hAnsi="Arial"/>
          <w:b w:val="0"/>
          <w:i w:val="0"/>
          <w:sz w:val="28"/>
        </w:rPr>
        <w:t xml:space="preserve"> que fija el artículo 146 del Código Fiscal de la Federación. La parte actora niega lisa y llanamente que en ese periodo se le haya notificado gestión de cobro alguna, por lo que corresponde a la autoridad acreditar lo contrario.</w:t>
      </w:r>
    </w:p>
    <w:p>
      <w:pPr>
        <w:spacing w:line="360" w:lineRule="auto"/>
        <w:jc w:val="both"/>
      </w:pPr>
      <w:r>
        <w:rPr>
          <w:rFonts w:ascii="Arial" w:hAnsi="Arial"/>
          <w:b w:val="0"/>
          <w:i w:val="0"/>
          <w:sz w:val="28"/>
        </w:rPr>
        <w:t xml:space="preserve">A ello se suma un dato decisivo. En el juicio </w:t>
      </w:r>
      <w:r>
        <w:rPr>
          <w:rFonts w:ascii="Arial" w:hAnsi="Arial"/>
          <w:b/>
          <w:i w:val="0"/>
          <w:sz w:val="28"/>
        </w:rPr>
        <w:t>[NÚMERO DEL JUICIO PREVIO Y SALA QUE LO RESOLVIÓ]</w:t>
      </w:r>
      <w:r>
        <w:rPr>
          <w:rFonts w:ascii="Arial" w:hAnsi="Arial"/>
          <w:b w:val="0"/>
          <w:i w:val="0"/>
          <w:sz w:val="28"/>
        </w:rPr>
        <w:t xml:space="preserve">, promovido por la propia parte actora contra un acto relativo al mismo crédito, este Tribunal dictó sentencia el </w:t>
      </w:r>
      <w:r>
        <w:rPr>
          <w:rFonts w:ascii="Arial" w:hAnsi="Arial"/>
          <w:b/>
          <w:i w:val="0"/>
          <w:sz w:val="28"/>
        </w:rPr>
        <w:t>[FECHA DE LA SENTENCIA PREVIA]</w:t>
      </w:r>
      <w:r>
        <w:rPr>
          <w:rFonts w:ascii="Arial" w:hAnsi="Arial"/>
          <w:b w:val="0"/>
          <w:i w:val="0"/>
          <w:sz w:val="28"/>
        </w:rPr>
        <w:t xml:space="preserve">, en la que declaró la nulidad lisa y llana del acto entonces impugnado al considerar prescrito el crédito contenido en el oficio </w:t>
      </w:r>
      <w:r>
        <w:rPr>
          <w:rFonts w:ascii="Arial" w:hAnsi="Arial"/>
          <w:b/>
          <w:i w:val="0"/>
          <w:sz w:val="28"/>
        </w:rPr>
        <w:t>[NÚMERO Y FECHA DEL OFICIO DETERMINANTE DEL CRÉDITO FISCAL]</w:t>
      </w:r>
      <w:r>
        <w:rPr>
          <w:rFonts w:ascii="Arial" w:hAnsi="Arial"/>
          <w:b w:val="0"/>
          <w:i w:val="0"/>
          <w:sz w:val="28"/>
        </w:rPr>
        <w:t>.</w:t>
      </w:r>
    </w:p>
    <w:p>
      <w:pPr>
        <w:spacing w:line="360" w:lineRule="auto"/>
        <w:jc w:val="both"/>
      </w:pPr>
      <w:r>
        <w:rPr>
          <w:rFonts w:ascii="Arial" w:hAnsi="Arial"/>
          <w:b w:val="0"/>
          <w:i w:val="0"/>
          <w:sz w:val="28"/>
        </w:rPr>
        <w:t xml:space="preserve">Esa sentencia se exhibe en copia certificada junto con </w:t>
      </w:r>
      <w:r>
        <w:rPr>
          <w:rFonts w:ascii="Arial" w:hAnsi="Arial"/>
          <w:b/>
          <w:i w:val="0"/>
          <w:sz w:val="28"/>
        </w:rPr>
        <w:t>[CONSTANCIA DE FIRMEZA DE LA SENTENCIA PREVIA]</w:t>
      </w:r>
      <w:r>
        <w:rPr>
          <w:rFonts w:ascii="Arial" w:hAnsi="Arial"/>
          <w:b w:val="0"/>
          <w:i w:val="0"/>
          <w:sz w:val="28"/>
        </w:rPr>
        <w:t>, que acredita su firmeza; si ésta sobreviene durante el juicio, la constancia podrá presentarse como prueba superveniente, mientras no se dicte sentencia, en términos del artículo 40, párrafo tercero, de la Ley Federal de Procedimiento Contencioso Administrativo.</w:t>
      </w:r>
    </w:p>
    <w:p>
      <w:pPr>
        <w:spacing w:line="360" w:lineRule="auto"/>
        <w:jc w:val="both"/>
      </w:pPr>
      <w:r>
        <w:rPr>
          <w:rFonts w:ascii="Arial" w:hAnsi="Arial"/>
          <w:b w:val="0"/>
          <w:i w:val="0"/>
          <w:sz w:val="28"/>
        </w:rPr>
        <w:t>Como lo ha reconocido la Sala en casos análogos, la negativa deviene ilegal al existir una determinación jurisdiccional en sentido contrario, y así lo resolvió aunque esa determinación se había dictado después de emitida la resolución entonces impugnada.</w:t>
      </w:r>
    </w:p>
    <w:p>
      <w:pPr>
        <w:spacing w:line="360" w:lineRule="auto"/>
        <w:jc w:val="both"/>
      </w:pPr>
      <w:r>
        <w:rPr>
          <w:rFonts w:ascii="Arial" w:hAnsi="Arial"/>
          <w:b w:val="0"/>
          <w:i w:val="0"/>
          <w:sz w:val="28"/>
        </w:rPr>
        <w:t>La subsunción es directa. El punto que decidió aquella sentencia, la extinción de las facultades de cobro sobre el crédito, es el mismo presupuesto del que depende la legalidad de la resolución impugnada, que negó esa extinción. Si la Sala resolviera lo contrario, coexistirían dos fallos del mismo Tribunal que afirman y niegan a la vez la vigencia de un mismo crédito, resultado que la eficacia refleja de la cosa juzgada existe para impedir.</w:t>
      </w:r>
    </w:p>
    <w:p>
      <w:pPr>
        <w:spacing w:line="360" w:lineRule="auto"/>
        <w:jc w:val="both"/>
      </w:pPr>
      <w:r>
        <w:rPr>
          <w:rFonts w:ascii="Arial" w:hAnsi="Arial"/>
          <w:b w:val="0"/>
          <w:i w:val="0"/>
          <w:sz w:val="28"/>
        </w:rPr>
        <w:t>Como lo ha reconocido la Sala en casos análogos, la circunstancia de que el acto impugnado en este juicio sea distinto del controvertido en el juicio anterior no obsta a esa conclusión, pues el fondo del asunto y la pretensión de la parte actora son los mismos en ambos. La resolución impugnada se dictó, así, en contravención de las disposiciones aplicadas y dejó de aplicar las debidas en cuanto al fondo del asunto, hipótesis de la fracción IV del artículo 51 de la Ley Federal de Procedimiento Contencioso Administrativo.</w:t>
      </w:r>
    </w:p>
    <w:p>
      <w:pPr>
        <w:spacing w:line="360" w:lineRule="auto"/>
        <w:jc w:val="both"/>
      </w:pPr>
      <w:r>
        <w:rPr>
          <w:rFonts w:ascii="Arial" w:hAnsi="Arial"/>
          <w:b w:val="0"/>
          <w:i w:val="0"/>
          <w:sz w:val="28"/>
        </w:rPr>
        <w:t xml:space="preserve">Frente a ello, la autoridad sostiene </w:t>
      </w:r>
      <w:r>
        <w:rPr>
          <w:rFonts w:ascii="Arial" w:hAnsi="Arial"/>
          <w:b/>
          <w:i w:val="0"/>
          <w:sz w:val="28"/>
        </w:rPr>
        <w:t>[ARGUMENTO DE LA AUTORIDAD PARA NEGAR LA PRESCRIPCIÓN]</w:t>
      </w:r>
      <w:r>
        <w:rPr>
          <w:rFonts w:ascii="Arial" w:hAnsi="Arial"/>
          <w:b w:val="0"/>
          <w:i w:val="0"/>
          <w:sz w:val="28"/>
        </w:rPr>
        <w:t>. Ese razonamiento es inválido por dos razones que conviene distinguir, porque cada una revela un defecto lógico propio y ambas conducen a la misma conclusión.</w:t>
      </w:r>
    </w:p>
    <w:p>
      <w:pPr>
        <w:spacing w:line="360" w:lineRule="auto"/>
        <w:jc w:val="both"/>
      </w:pPr>
      <w:r>
        <w:rPr>
          <w:rFonts w:ascii="Arial" w:hAnsi="Arial"/>
          <w:b w:val="0"/>
          <w:i w:val="0"/>
          <w:sz w:val="28"/>
        </w:rPr>
        <w:t xml:space="preserve">En primer lugar, incurre en la falacia de eludir la cuestión, conocida tradicionalmente como </w:t>
      </w:r>
      <w:r>
        <w:rPr>
          <w:rFonts w:ascii="Arial" w:hAnsi="Arial"/>
          <w:b w:val="0"/>
          <w:i/>
          <w:sz w:val="28"/>
        </w:rPr>
        <w:t>“ignoratio elenchi”</w:t>
      </w:r>
      <w:r>
        <w:rPr>
          <w:rFonts w:ascii="Arial" w:hAnsi="Arial"/>
          <w:b w:val="0"/>
          <w:i w:val="0"/>
          <w:sz w:val="28"/>
        </w:rPr>
        <w:t>, que consiste en probar algo distinto de lo que se discute.</w:t>
      </w:r>
      <w:r>
        <w:rPr>
          <w:rFonts w:ascii="Arial" w:hAnsi="Arial"/>
          <w:vertAlign w:val="superscript"/>
        </w:rPr>
        <w:t>4</w:t>
      </w:r>
      <w:r>
        <w:rPr>
          <w:rFonts w:ascii="Arial" w:hAnsi="Arial"/>
          <w:b w:val="0"/>
          <w:i w:val="0"/>
          <w:sz w:val="28"/>
        </w:rPr>
        <w:t xml:space="preserve"> La cuestión por decidir es si subsisten las facultades de cobro sobre un crédito respecto del cual corrió el plazo legal sin gestión de cobro y que este Tribunal ya declaró prescrito.</w:t>
      </w:r>
    </w:p>
    <w:p>
      <w:pPr>
        <w:spacing w:line="360" w:lineRule="auto"/>
        <w:jc w:val="both"/>
      </w:pPr>
      <w:r>
        <w:rPr>
          <w:rFonts w:ascii="Arial" w:hAnsi="Arial"/>
          <w:b w:val="0"/>
          <w:i w:val="0"/>
          <w:sz w:val="28"/>
        </w:rPr>
        <w:t>La motivación de la autoridad se ocupa de otra cosa: de la firmeza del crédito determinado, que la prescripción presupone y deja intacta, o de una interrupción o suspensión del plazo que quedó comprendida en lo ya decidido, pues declarar prescrito el crédito supone que el plazo corrió sin interrupción eficaz.</w:t>
      </w:r>
    </w:p>
    <w:p>
      <w:pPr>
        <w:spacing w:line="360" w:lineRule="auto"/>
        <w:jc w:val="both"/>
      </w:pPr>
      <w:r>
        <w:rPr>
          <w:rFonts w:ascii="Arial" w:hAnsi="Arial"/>
          <w:b w:val="0"/>
          <w:i w:val="0"/>
          <w:sz w:val="28"/>
        </w:rPr>
        <w:t>Además, si la autoridad afirma que el plazo se interrumpió, a ella corresponde acreditar la gestión de cobro concreta, su fecha y su notificación a la parte actora, en términos de los artículos 40, párrafo primero, y 42 de la Ley Federal de Procedimiento Contencioso Administrativo. Afirmar la interrupción sin exhibir la constancia que la produjo deja la conclusión sin premisa y convierte la negativa en una afirmación dogmática.</w:t>
      </w:r>
    </w:p>
    <w:p>
      <w:pPr>
        <w:spacing w:line="360" w:lineRule="auto"/>
        <w:jc w:val="both"/>
      </w:pPr>
      <w:r>
        <w:rPr>
          <w:rFonts w:ascii="Arial" w:hAnsi="Arial"/>
          <w:b w:val="0"/>
          <w:i w:val="0"/>
          <w:sz w:val="28"/>
        </w:rPr>
        <w:t>En segundo lugar, cualquier intento de restar eficacia a la sentencia firme con el argumento de que recayó a un acto distinto descansa en un falso dilema: o existe identidad plena entre los actos, y entonces opera la cosa juzgada, o no existe, y entonces lo resuelto carece de todo efecto sobre el nuevo juicio. El dilema es falso cuando sus términos no son exhaustivos y existe una tercera vía que el argumento omite.</w:t>
      </w:r>
      <w:r>
        <w:rPr>
          <w:rFonts w:ascii="Arial" w:hAnsi="Arial"/>
          <w:vertAlign w:val="superscript"/>
        </w:rPr>
        <w:t>5</w:t>
      </w:r>
    </w:p>
    <w:p>
      <w:pPr>
        <w:spacing w:line="360" w:lineRule="auto"/>
        <w:jc w:val="both"/>
      </w:pPr>
      <w:r>
        <w:rPr>
          <w:rFonts w:ascii="Arial" w:hAnsi="Arial"/>
          <w:b w:val="0"/>
          <w:i w:val="0"/>
          <w:sz w:val="28"/>
        </w:rPr>
        <w:t>En este caso la tercera vía es la eficacia refleja de la cosa juzgada, que opera sin identidad de actos cuando lo decidido condiciona la nueva controversia. Desconocerla obligaría a la Sala a elegir entre dos extremos que el orden jurídico no impone: repetir un juicio ya concluido o fingir que no existe, cuando lo que corresponde es asumir como premisa lo que ya fue juzgado.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las facultades de la autoridad para cobrar el crédito contenido en el oficio </w:t>
      </w:r>
      <w:r>
        <w:rPr>
          <w:rFonts w:ascii="Arial" w:hAnsi="Arial"/>
          <w:b/>
          <w:i w:val="0"/>
          <w:sz w:val="28"/>
        </w:rPr>
        <w:t>[NÚMERO Y FECHA DEL OFICIO DETERMINANTE DEL CRÉDITO FISCAL]</w:t>
      </w:r>
      <w:r>
        <w:rPr>
          <w:rFonts w:ascii="Arial" w:hAnsi="Arial"/>
          <w:b w:val="0"/>
          <w:i w:val="0"/>
          <w:sz w:val="28"/>
        </w:rPr>
        <w:t xml:space="preserve"> se extinguieron por el transcurso del plazo del artículo 146 del Código Fiscal de la Federación sin gestión de cobro alguna, y este Tribunal ya lo declaró así en sentencia firme cuya eficacia refleja impide resolver en sentido contrario. La resolución que negó la declaratoria descansa en una premisa que un fallo firme ya desvirtuó.</w:t>
      </w:r>
    </w:p>
    <w:p>
      <w:pPr>
        <w:spacing w:line="360" w:lineRule="auto"/>
        <w:jc w:val="both"/>
      </w:pPr>
      <w:r>
        <w:rPr>
          <w:rFonts w:ascii="Arial" w:hAnsi="Arial"/>
          <w:b w:val="0"/>
          <w:i w:val="0"/>
          <w:sz w:val="28"/>
        </w:rPr>
        <w:t>Por lo expuesto, se solicita a esa Sala declarar fundado el presente concepto de impugnación y, con fundamento en los artículos 51, fracción IV, y 52, fracción II, de la Ley Federal de Procedimiento Contencioso Administrativo, declarar la nulidad lisa y llana de la resolución impugnada. Se pide su estudio preferente conforme al artículo 50, párrafo segundo, del mismo ordenamiento, pues su acogimiento colma la pretensión de la parte actora y hace innecesario el examen de los restantes conceptos.</w:t>
      </w:r>
    </w:p>
    <w:p>
      <w:pPr>
        <w:spacing w:line="360" w:lineRule="auto"/>
        <w:jc w:val="both"/>
      </w:pPr>
      <w:r>
        <w:rPr>
          <w:rFonts w:ascii="Arial" w:hAnsi="Arial"/>
          <w:b w:val="0"/>
          <w:i w:val="0"/>
          <w:sz w:val="28"/>
        </w:rPr>
        <w:t xml:space="preserve">Para acreditar lo anterior se ofrecen la copia certificada de la sentencia dictada en el juicio </w:t>
      </w:r>
      <w:r>
        <w:rPr>
          <w:rFonts w:ascii="Arial" w:hAnsi="Arial"/>
          <w:b/>
          <w:i w:val="0"/>
          <w:sz w:val="28"/>
        </w:rPr>
        <w:t>[NÚMERO DEL JUICIO PREVIO Y SALA QUE LO RESOLVIÓ]</w:t>
      </w:r>
      <w:r>
        <w:rPr>
          <w:rFonts w:ascii="Arial" w:hAnsi="Arial"/>
          <w:b w:val="0"/>
          <w:i w:val="0"/>
          <w:sz w:val="28"/>
        </w:rPr>
        <w:t xml:space="preserve"> y de </w:t>
      </w:r>
      <w:r>
        <w:rPr>
          <w:rFonts w:ascii="Arial" w:hAnsi="Arial"/>
          <w:b/>
          <w:i w:val="0"/>
          <w:sz w:val="28"/>
        </w:rPr>
        <w:t>[CONSTANCIA DE FIRMEZA DE LA SENTENCIA PREVIA]</w:t>
      </w:r>
      <w:r>
        <w:rPr>
          <w:rFonts w:ascii="Arial" w:hAnsi="Arial"/>
          <w:b w:val="0"/>
          <w:i w:val="0"/>
          <w:sz w:val="28"/>
        </w:rPr>
        <w:t>, y se solicita a esa Sala requerir a la que conoció de aquel juicio la remisión de sus autos o, en su caso, tenerlos a la vista como hecho notorio, en términos del artículo 50, párrafo primero, de la Ley Federal de Procedimiento Contencioso Administrativo.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OLMEDO ROMERO, Alfredo; BARRENECHEA SANTILLÁN, Aníbal; MISARI TORPOCO, David, </w:t>
      </w:r>
      <w:r>
        <w:rPr>
          <w:rFonts w:ascii="Arial" w:hAnsi="Arial"/>
          <w:i/>
          <w:sz w:val="20"/>
        </w:rPr>
        <w:t>Oratoria forense y redacción jurídica</w:t>
      </w:r>
      <w:r>
        <w:rPr>
          <w:rFonts w:ascii="Arial" w:hAnsi="Arial"/>
          <w:i w:val="0"/>
          <w:sz w:val="20"/>
        </w:rPr>
        <w:t>, San Marcos, Lima, 2010, p. 182.</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183.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VIGO, Rodolfo L., </w:t>
      </w:r>
      <w:r>
        <w:rPr>
          <w:rFonts w:ascii="Arial" w:hAnsi="Arial"/>
          <w:i/>
          <w:sz w:val="20"/>
        </w:rPr>
        <w:t>La interpretación (argumentación) jurídica en el Estado de Derecho Constitucional</w:t>
      </w:r>
      <w:r>
        <w:rPr>
          <w:rFonts w:ascii="Arial" w:hAnsi="Arial"/>
          <w:i w:val="0"/>
          <w:sz w:val="20"/>
        </w:rPr>
        <w:t>, Instituto de la Judicatura Federal / Tirant lo Blanch, México, 2017, p. 189.</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33.</w:t>
      </w:r>
    </w:p>
    <w:p/>
    <w:p>
      <w:r>
        <w:rPr>
          <w:rFonts w:ascii="Arial" w:hAnsi="Arial"/>
          <w:b/>
          <w:sz w:val="22"/>
        </w:rPr>
        <w:t>BIBLIOGRAFÍA</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OLMEDO ROMERO, Alfredo; BARRENECHEA SANTILLÁN, Aníbal; MISARI TORPOCO, David, </w:t>
      </w:r>
      <w:r>
        <w:rPr>
          <w:rFonts w:ascii="Arial" w:hAnsi="Arial"/>
          <w:i/>
          <w:sz w:val="20"/>
        </w:rPr>
        <w:t>Oratoria forense y redacción jurídica</w:t>
      </w:r>
      <w:r>
        <w:rPr>
          <w:rFonts w:ascii="Arial" w:hAnsi="Arial"/>
          <w:i w:val="0"/>
          <w:sz w:val="20"/>
        </w:rPr>
        <w:t>, San Marcos, Lima, 2010.</w:t>
      </w:r>
    </w:p>
    <w:p>
      <w:pPr>
        <w:spacing w:after="60"/>
        <w:ind w:left="360" w:hanging="360"/>
        <w:jc w:val="both"/>
      </w:pPr>
      <w:r>
        <w:rPr>
          <w:rFonts w:ascii="Arial" w:hAnsi="Arial"/>
          <w:i w:val="0"/>
          <w:sz w:val="20"/>
        </w:rPr>
        <w:t xml:space="preserve">VIGO, Rodolfo L., </w:t>
      </w:r>
      <w:r>
        <w:rPr>
          <w:rFonts w:ascii="Arial" w:hAnsi="Arial"/>
          <w:i/>
          <w:sz w:val="20"/>
        </w:rPr>
        <w:t>La interpretación (argumentación) jurídica en el Estado de Derecho Constitucional</w:t>
      </w:r>
      <w:r>
        <w:rPr>
          <w:rFonts w:ascii="Arial" w:hAnsi="Arial"/>
          <w:i w:val="0"/>
          <w:sz w:val="20"/>
        </w:rPr>
        <w:t>, Instituto de la Judicatura Federal / Tirant lo Blanch, México, 2017.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