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RETENCIÓN DE IVA A PROVEEDOR PERSONA FÍSICA Y DEVOLUCIÓN DE SALDO A FAVOR</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a tu demanda de nulidad. Antes de escribir, reúne cuatro piezas: la resolución que negó la devolución (y, en su caso, la que resolvió el recurso de revocación), la solicitud de devolución con sus anexos, el expediente administrativo que la autoridad haya integrado y toda la evidencia de la organización empresarial de tu proveedor (contrato, anexos técnicos, cotizaciones, listas de personal, equipo y transporte).</w:t>
      </w:r>
    </w:p>
    <w:p>
      <w:pPr>
        <w:spacing w:line="360" w:lineRule="auto"/>
        <w:jc w:val="both"/>
      </w:pPr>
      <w:r>
        <w:rPr>
          <w:rFonts w:ascii="Arial" w:hAnsi="Arial"/>
          <w:b w:val="0"/>
          <w:i w:val="0"/>
          <w:sz w:val="24"/>
        </w:rPr>
        <w:t>Identifica en la resolución el párrafo exacto donde la autoridad concluye que había obligación de retener y transcríbelo con fidelidad: ése es el blanco del concepto. Verifica que la negativa no descanse en otros motivos, porque entonces habrá que agregar conceptos distintos.</w:t>
      </w:r>
    </w:p>
    <w:p>
      <w:pPr>
        <w:spacing w:line="360" w:lineRule="auto"/>
        <w:jc w:val="both"/>
      </w:pPr>
      <w:r>
        <w:rPr>
          <w:rFonts w:ascii="Arial" w:hAnsi="Arial"/>
          <w:b w:val="0"/>
          <w:i w:val="0"/>
          <w:sz w:val="24"/>
        </w:rPr>
        <w:t>Recuerda que la demanda de nulidad se presenta dentro de los treinta días que fija el artículo 58-2, párrafo tercero, de la Ley Federal de Procedimiento Contencioso Administrativo, contados conforme a la notificación de la resolución impugnada. Después llena los campos editables y coteja cada dato contra tus constancias.</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[AUTORIDAD DEMANDADA]</w:t>
      </w:r>
      <w:r>
        <w:rPr>
          <w:rFonts w:ascii="Arial" w:hAnsi="Arial"/>
          <w:b w:val="0"/>
          <w:i w:val="0"/>
          <w:sz w:val="24"/>
        </w:rPr>
        <w:t>: la denominación completa de la autoridad que emitió la resolución impugnada.</w:t>
      </w:r>
    </w:p>
    <w:p>
      <w:pPr>
        <w:spacing w:line="360" w:lineRule="auto"/>
        <w:jc w:val="both"/>
      </w:pPr>
      <w:r>
        <w:rPr>
          <w:rFonts w:ascii="Arial" w:hAnsi="Arial"/>
          <w:b/>
          <w:i w:val="0"/>
          <w:sz w:val="24"/>
        </w:rPr>
        <w:t>[OFICIO Y FECHA DE LA RESOLUCIÓN IMPUGNADA]</w:t>
      </w:r>
      <w:r>
        <w:rPr>
          <w:rFonts w:ascii="Arial" w:hAnsi="Arial"/>
          <w:b w:val="0"/>
          <w:i w:val="0"/>
          <w:sz w:val="24"/>
        </w:rPr>
        <w:t>: número de oficio y fecha de la resolución que niega la devolución o que resuelve el recurso.</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te fue notificada, que rige la oportunidad de la demanda.</w:t>
      </w:r>
    </w:p>
    <w:p>
      <w:pPr>
        <w:spacing w:line="360" w:lineRule="auto"/>
        <w:jc w:val="both"/>
      </w:pPr>
      <w:r>
        <w:rPr>
          <w:rFonts w:ascii="Arial" w:hAnsi="Arial"/>
          <w:b/>
          <w:i w:val="0"/>
          <w:sz w:val="24"/>
        </w:rPr>
        <w:t>[SALA REGIONAL COMPETENTE]</w:t>
      </w:r>
      <w:r>
        <w:rPr>
          <w:rFonts w:ascii="Arial" w:hAnsi="Arial"/>
          <w:b w:val="0"/>
          <w:i w:val="0"/>
          <w:sz w:val="24"/>
        </w:rPr>
        <w:t>: la Sala Regional del Tribunal Federal de Justicia Administrativa que corresponda a tu domicilio fiscal.</w:t>
      </w:r>
    </w:p>
    <w:p>
      <w:pPr>
        <w:spacing w:line="360" w:lineRule="auto"/>
        <w:jc w:val="both"/>
      </w:pPr>
      <w:r>
        <w:rPr>
          <w:rFonts w:ascii="Arial" w:hAnsi="Arial"/>
          <w:b/>
          <w:i w:val="0"/>
          <w:sz w:val="24"/>
        </w:rPr>
        <w:t>[PARTE ACTORA]</w:t>
      </w:r>
      <w:r>
        <w:rPr>
          <w:rFonts w:ascii="Arial" w:hAnsi="Arial"/>
          <w:b w:val="0"/>
          <w:i w:val="0"/>
          <w:sz w:val="24"/>
        </w:rPr>
        <w:t>: la denominación o razón social de la persona moral que solicitó la devolución.</w:t>
      </w:r>
    </w:p>
    <w:p>
      <w:pPr>
        <w:spacing w:line="360" w:lineRule="auto"/>
        <w:jc w:val="both"/>
      </w:pPr>
      <w:r>
        <w:rPr>
          <w:rFonts w:ascii="Arial" w:hAnsi="Arial"/>
          <w:b/>
          <w:i w:val="0"/>
          <w:sz w:val="24"/>
        </w:rPr>
        <w:t>[PERIODO DEL SALDO A FAVOR]</w:t>
      </w:r>
      <w:r>
        <w:rPr>
          <w:rFonts w:ascii="Arial" w:hAnsi="Arial"/>
          <w:b w:val="0"/>
          <w:i w:val="0"/>
          <w:sz w:val="24"/>
        </w:rPr>
        <w:t>: el mes o ejercicio al que corresponde el saldo a favor solicitado.</w:t>
      </w:r>
    </w:p>
    <w:p>
      <w:pPr>
        <w:spacing w:line="360" w:lineRule="auto"/>
        <w:jc w:val="both"/>
      </w:pPr>
      <w:r>
        <w:rPr>
          <w:rFonts w:ascii="Arial" w:hAnsi="Arial"/>
          <w:b/>
          <w:i w:val="0"/>
          <w:sz w:val="24"/>
        </w:rPr>
        <w:t>[MONTO NEGADO O NO DEVUELTO]</w:t>
      </w:r>
      <w:r>
        <w:rPr>
          <w:rFonts w:ascii="Arial" w:hAnsi="Arial"/>
          <w:b w:val="0"/>
          <w:i w:val="0"/>
          <w:sz w:val="24"/>
        </w:rPr>
        <w:t>: la cantidad que la autoridad dejó de devolver, tal como aparece en la resolución.</w:t>
      </w:r>
    </w:p>
    <w:p>
      <w:pPr>
        <w:spacing w:line="360" w:lineRule="auto"/>
        <w:jc w:val="both"/>
      </w:pPr>
      <w:r>
        <w:rPr>
          <w:rFonts w:ascii="Arial" w:hAnsi="Arial"/>
          <w:b/>
          <w:i w:val="0"/>
          <w:sz w:val="24"/>
        </w:rPr>
        <w:t>[PROVEEDOR PERSONA FÍSICA]</w:t>
      </w:r>
      <w:r>
        <w:rPr>
          <w:rFonts w:ascii="Arial" w:hAnsi="Arial"/>
          <w:b w:val="0"/>
          <w:i w:val="0"/>
          <w:sz w:val="24"/>
        </w:rPr>
        <w:t>: el prestador del servicio cuyo IVA se rechazó; puedes identificarlo por su clave del RFC si prefieres no asentar el nombre.</w:t>
      </w:r>
    </w:p>
    <w:p>
      <w:pPr>
        <w:spacing w:line="360" w:lineRule="auto"/>
        <w:jc w:val="both"/>
      </w:pPr>
      <w:r>
        <w:rPr>
          <w:rFonts w:ascii="Arial" w:hAnsi="Arial"/>
          <w:b/>
          <w:i w:val="0"/>
          <w:sz w:val="24"/>
        </w:rPr>
        <w:t>[DESCRIPCIÓN MATERIAL DEL SERVICIO CONTRATADO]</w:t>
      </w:r>
      <w:r>
        <w:rPr>
          <w:rFonts w:ascii="Arial" w:hAnsi="Arial"/>
          <w:b w:val="0"/>
          <w:i w:val="0"/>
          <w:sz w:val="24"/>
        </w:rPr>
        <w:t>: qué se hizo realmente, en términos operativos, no la etiqueta del comprobante.</w:t>
      </w:r>
    </w:p>
    <w:p>
      <w:pPr>
        <w:spacing w:line="360" w:lineRule="auto"/>
        <w:jc w:val="both"/>
      </w:pPr>
      <w:r>
        <w:rPr>
          <w:rFonts w:ascii="Arial" w:hAnsi="Arial"/>
          <w:b/>
          <w:i w:val="0"/>
          <w:sz w:val="24"/>
        </w:rPr>
        <w:t>[CONCEPTO ASENTADO EN LOS COMPROBANTES FISCALES]</w:t>
      </w:r>
      <w:r>
        <w:rPr>
          <w:rFonts w:ascii="Arial" w:hAnsi="Arial"/>
          <w:b w:val="0"/>
          <w:i w:val="0"/>
          <w:sz w:val="24"/>
        </w:rPr>
        <w:t>: la descripción literal que aparece en los CFDI, transcrita entre comillas.</w:t>
      </w:r>
    </w:p>
    <w:p>
      <w:pPr>
        <w:spacing w:line="360" w:lineRule="auto"/>
        <w:jc w:val="both"/>
      </w:pPr>
      <w:r>
        <w:rPr>
          <w:rFonts w:ascii="Arial" w:hAnsi="Arial"/>
          <w:b/>
          <w:i w:val="0"/>
          <w:sz w:val="24"/>
        </w:rPr>
        <w:t>[ELEMENTOS DE ORGANIZACIÓN EMPRESARIAL DEL PROVEEDOR]</w:t>
      </w:r>
      <w:r>
        <w:rPr>
          <w:rFonts w:ascii="Arial" w:hAnsi="Arial"/>
          <w:b w:val="0"/>
          <w:i w:val="0"/>
          <w:sz w:val="24"/>
        </w:rPr>
        <w:t>: herramientas, maquinaria, transporte, personal auxiliar, coordinación de áreas y demás elementos que acrediten estructura operativa.</w:t>
      </w:r>
    </w:p>
    <w:p>
      <w:pPr>
        <w:spacing w:line="360" w:lineRule="auto"/>
        <w:jc w:val="both"/>
      </w:pPr>
      <w:r>
        <w:rPr>
          <w:rFonts w:ascii="Arial" w:hAnsi="Arial"/>
          <w:b/>
          <w:i w:val="0"/>
          <w:sz w:val="24"/>
        </w:rPr>
        <w:t>[DOCUMENTOS DEL EXPEDIENTE ADMINISTRATIVO]</w:t>
      </w:r>
      <w:r>
        <w:rPr>
          <w:rFonts w:ascii="Arial" w:hAnsi="Arial"/>
          <w:b w:val="0"/>
          <w:i w:val="0"/>
          <w:sz w:val="24"/>
        </w:rPr>
        <w:t>: contrato, anexos, cotizaciones, respuestas a requerimientos y demás constancias que la autoridad tuvo a la vista.</w:t>
      </w:r>
    </w:p>
    <w:p>
      <w:pPr>
        <w:spacing w:line="360" w:lineRule="auto"/>
        <w:jc w:val="both"/>
      </w:pPr>
      <w:r>
        <w:rPr>
          <w:rFonts w:ascii="Arial" w:hAnsi="Arial"/>
          <w:b/>
          <w:i w:val="0"/>
          <w:sz w:val="24"/>
        </w:rPr>
        <w:t>[TRANSCRIPCIÓN DE LA MOTIVACIÓN DE LA AUTORIDAD]</w:t>
      </w:r>
      <w:r>
        <w:rPr>
          <w:rFonts w:ascii="Arial" w:hAnsi="Arial"/>
          <w:b w:val="0"/>
          <w:i w:val="0"/>
          <w:sz w:val="24"/>
        </w:rPr>
        <w:t>: el pasaje de la resolución donde concluye que existía obligación de retener, transcrito de forma literal.</w:t>
      </w:r>
    </w:p>
    <w:p/>
    <w:p>
      <w:pPr>
        <w:spacing w:line="360" w:lineRule="auto"/>
        <w:jc w:val="both"/>
      </w:pPr>
      <w:r>
        <w:rPr>
          <w:rFonts w:ascii="Arial" w:hAnsi="Arial"/>
          <w:b/>
          <w:sz w:val="28"/>
        </w:rPr>
        <w:t>[NÚMERO ORDINAL DEL CONCEPTO] CONCEPTO DE IMPUGNACIÓN. Indebida aplicación del artículo 1o.-A, fracción II, inciso a), de la Ley del Impuesto al Valor Agregado. La autoridad negó la devolución del saldo a favor por una supuesta omisión de retención que tuvo por actualizada con el solo dato de que los comprobantes fiscales dicen “servicios” y de que el proveedor es persona física, sin descartar la naturaleza empresarial de la actividad contratada, con lo que se actualiza la causal de ilegalidad prevista en 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w:t>
      </w:r>
      <w:r>
        <w:rPr>
          <w:rFonts w:ascii="Arial" w:hAnsi="Arial"/>
          <w:b/>
          <w:i w:val="0"/>
          <w:sz w:val="28"/>
        </w:rPr>
        <w:t>[AUTORIDAD DEMANDADA]</w:t>
      </w:r>
      <w:r>
        <w:rPr>
          <w:rFonts w:ascii="Arial" w:hAnsi="Arial"/>
          <w:b w:val="0"/>
          <w:i w:val="0"/>
          <w:sz w:val="28"/>
        </w:rPr>
        <w:t xml:space="preserve">, al emitir la resolución contenida en el oficio </w:t>
      </w:r>
      <w:r>
        <w:rPr>
          <w:rFonts w:ascii="Arial" w:hAnsi="Arial"/>
          <w:b/>
          <w:i w:val="0"/>
          <w:sz w:val="28"/>
        </w:rPr>
        <w:t>[OFICIO Y FECHA DE LA RESOLUCIÓN IMPUGNADA]</w:t>
      </w:r>
      <w:r>
        <w:rPr>
          <w:rFonts w:ascii="Arial" w:hAnsi="Arial"/>
          <w:b w:val="0"/>
          <w:i w:val="0"/>
          <w:sz w:val="28"/>
        </w:rPr>
        <w:t xml:space="preserve">, negó a </w:t>
      </w:r>
      <w:r>
        <w:rPr>
          <w:rFonts w:ascii="Arial" w:hAnsi="Arial"/>
          <w:b/>
          <w:i w:val="0"/>
          <w:sz w:val="28"/>
        </w:rPr>
        <w:t>[PARTE ACTORA]</w:t>
      </w:r>
      <w:r>
        <w:rPr>
          <w:rFonts w:ascii="Arial" w:hAnsi="Arial"/>
          <w:b w:val="0"/>
          <w:i w:val="0"/>
          <w:sz w:val="28"/>
        </w:rPr>
        <w:t xml:space="preserve"> la devolución del saldo a favor del impuesto al valor agregado correspondiente a </w:t>
      </w:r>
      <w:r>
        <w:rPr>
          <w:rFonts w:ascii="Arial" w:hAnsi="Arial"/>
          <w:b/>
          <w:i w:val="0"/>
          <w:sz w:val="28"/>
        </w:rPr>
        <w:t>[PERIODO DEL SALDO A FAVOR]</w:t>
      </w:r>
      <w:r>
        <w:rPr>
          <w:rFonts w:ascii="Arial" w:hAnsi="Arial"/>
          <w:b w:val="0"/>
          <w:i w:val="0"/>
          <w:sz w:val="28"/>
        </w:rPr>
        <w:t xml:space="preserve">, por la cantidad de </w:t>
      </w:r>
      <w:r>
        <w:rPr>
          <w:rFonts w:ascii="Arial" w:hAnsi="Arial"/>
          <w:b/>
          <w:i w:val="0"/>
          <w:sz w:val="28"/>
        </w:rPr>
        <w:t>[MONTO NEGADO O NO DEVUELTO]</w:t>
      </w:r>
      <w:r>
        <w:rPr>
          <w:rFonts w:ascii="Arial" w:hAnsi="Arial"/>
          <w:b w:val="0"/>
          <w:i w:val="0"/>
          <w:sz w:val="28"/>
        </w:rPr>
        <w:t xml:space="preserve">, sobre una premisa que jamás acreditó: que la parte actora estaba obligada a retener y enterar el impuesto que le trasladó </w:t>
      </w:r>
      <w:r>
        <w:rPr>
          <w:rFonts w:ascii="Arial" w:hAnsi="Arial"/>
          <w:b/>
          <w:i w:val="0"/>
          <w:sz w:val="28"/>
        </w:rPr>
        <w:t>[PROVEEDOR PERSONA FÍSICA]</w:t>
      </w:r>
      <w:r>
        <w:rPr>
          <w:rFonts w:ascii="Arial" w:hAnsi="Arial"/>
          <w:b w:val="0"/>
          <w:i w:val="0"/>
          <w:sz w:val="28"/>
        </w:rPr>
        <w:t>.</w:t>
      </w:r>
    </w:p>
    <w:p>
      <w:pPr>
        <w:spacing w:line="360" w:lineRule="auto"/>
        <w:jc w:val="both"/>
      </w:pPr>
      <w:r>
        <w:rPr>
          <w:rFonts w:ascii="Arial" w:hAnsi="Arial"/>
          <w:b w:val="0"/>
          <w:i w:val="0"/>
          <w:sz w:val="28"/>
        </w:rPr>
        <w:t xml:space="preserve">La cadena normativa que sostiene este concepto es corta y verificable. El artículo 1o.-A, fracción II, inciso a), de la Ley del Impuesto al Valor Agregado sólo obliga a retener a la persona moral que recibe servicios </w:t>
      </w:r>
      <w:r>
        <w:rPr>
          <w:rFonts w:ascii="Arial" w:hAnsi="Arial"/>
          <w:b/>
          <w:i w:val="0"/>
          <w:sz w:val="28"/>
        </w:rPr>
        <w:t>personales</w:t>
      </w:r>
      <w:r>
        <w:rPr>
          <w:rFonts w:ascii="Arial" w:hAnsi="Arial"/>
          <w:b w:val="0"/>
          <w:i w:val="0"/>
          <w:sz w:val="28"/>
        </w:rPr>
        <w:t xml:space="preserve"> independientes; el último párrafo del artículo 14 de esa misma ley precisa que la prestación de servicios independientes tiene la característica de personal cuando se trate de actividades que no tengan la naturaleza de actividad empresarial; y el artículo 16 del Código Fiscal de la Federación es el que define esa naturaleza.</w:t>
      </w:r>
    </w:p>
    <w:p>
      <w:pPr>
        <w:spacing w:line="360" w:lineRule="auto"/>
        <w:jc w:val="both"/>
      </w:pPr>
      <w:r>
        <w:rPr>
          <w:rFonts w:ascii="Arial" w:hAnsi="Arial"/>
          <w:b w:val="0"/>
          <w:i w:val="0"/>
          <w:sz w:val="28"/>
        </w:rPr>
        <w:t>De ahí se sigue una consecuencia que la autoridad pasó por alto: la ausencia de carácter empresarial no es un dato accesorio, sino un elemento negativo del supuesto de retención. Quien pretende que nació la obligación de retener tiene que demostrar, primero, que el servicio recibido era personal, y eso exige descartar que la actividad del prestador encuadre en alguna de las especies del género empresarial que enumera el artículo 16 citado.</w:t>
      </w:r>
    </w:p>
    <w:p>
      <w:pPr>
        <w:spacing w:line="360" w:lineRule="auto"/>
        <w:jc w:val="both"/>
      </w:pPr>
      <w:r>
        <w:rPr>
          <w:rFonts w:ascii="Arial" w:hAnsi="Arial"/>
          <w:b w:val="0"/>
          <w:i w:val="0"/>
          <w:sz w:val="28"/>
        </w:rPr>
        <w:t>Se demostrará que la autoridad nunca hizo ese ejercicio. Se detuvo en la denominación que aparece en los comprobantes fiscales digitales por internet y en la calidad de persona física del proveedor, y de esos dos datos saltó directamente a la conclusión de que había obligación de retener, sin examinar las constancias que describían materialmente la operación y que obraban en el expediente administrativo, y sin ejercer las facultades de comprobación que el artículo 22-D, fracción II, del Código Fiscal de la Federación pone a su alcance.</w:t>
      </w:r>
    </w:p>
    <w:p>
      <w:pPr>
        <w:spacing w:line="360" w:lineRule="auto"/>
        <w:jc w:val="both"/>
      </w:pPr>
      <w:r>
        <w:rPr>
          <w:rFonts w:ascii="Arial" w:hAnsi="Arial"/>
          <w:b w:val="0"/>
          <w:i w:val="0"/>
          <w:sz w:val="28"/>
        </w:rPr>
        <w:t>Si la premisa de la retención cae, cae todo lo demás. El único motivo del rechazo desaparece y queda indebidamente aplicado el artículo 27, primer párrafo, fracción V, de la Ley del Impuesto Sobre la Renta, precepto que ni siquiera contiene los requisitos de acreditamiento del impuesto al valor agregado y que se invocó sin razonar por qué resultaba aplicable. Procede, por tanto, declarar la nulidad de la resolución impugnada y reconocer el derecho subjetivo a la devolución.</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Se impugna ante esa </w:t>
      </w:r>
      <w:r>
        <w:rPr>
          <w:rFonts w:ascii="Arial" w:hAnsi="Arial"/>
          <w:b/>
          <w:i w:val="0"/>
          <w:sz w:val="28"/>
        </w:rPr>
        <w:t>[SALA REGIONAL COMPETENTE]</w:t>
      </w:r>
      <w:r>
        <w:rPr>
          <w:rFonts w:ascii="Arial" w:hAnsi="Arial"/>
          <w:b w:val="0"/>
          <w:i w:val="0"/>
          <w:sz w:val="28"/>
        </w:rPr>
        <w:t xml:space="preserve"> del Tribunal Federal de Justicia Administrativa la resolución contenida en el oficio </w:t>
      </w:r>
      <w:r>
        <w:rPr>
          <w:rFonts w:ascii="Arial" w:hAnsi="Arial"/>
          <w:b/>
          <w:i w:val="0"/>
          <w:sz w:val="28"/>
        </w:rPr>
        <w:t>[OFICIO Y 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y notificada a la parte actora el </w:t>
      </w:r>
      <w:r>
        <w:rPr>
          <w:rFonts w:ascii="Arial" w:hAnsi="Arial"/>
          <w:b/>
          <w:i w:val="0"/>
          <w:sz w:val="28"/>
        </w:rPr>
        <w:t>[FECHA DE NOTIFICACIÓN DE LA RESOLUCIÓN IMPUGNADA]</w:t>
      </w:r>
      <w:r>
        <w:rPr>
          <w:rFonts w:ascii="Arial" w:hAnsi="Arial"/>
          <w:b w:val="0"/>
          <w:i w:val="0"/>
          <w:sz w:val="28"/>
        </w:rPr>
        <w:t xml:space="preserve">, por la que se negó, total o parcialmente, la devolución del saldo a favor del impuesto al valor agregado de </w:t>
      </w:r>
      <w:r>
        <w:rPr>
          <w:rFonts w:ascii="Arial" w:hAnsi="Arial"/>
          <w:b/>
          <w:i w:val="0"/>
          <w:sz w:val="28"/>
        </w:rPr>
        <w:t>[PERIODO DEL SALDO A FAVOR]</w:t>
      </w:r>
      <w:r>
        <w:rPr>
          <w:rFonts w:ascii="Arial" w:hAnsi="Arial"/>
          <w:b w:val="0"/>
          <w:i w:val="0"/>
          <w:sz w:val="28"/>
        </w:rPr>
        <w:t xml:space="preserve"> solicitada oportunamente.</w:t>
      </w:r>
    </w:p>
    <w:p>
      <w:pPr>
        <w:spacing w:line="360" w:lineRule="auto"/>
        <w:jc w:val="both"/>
      </w:pPr>
      <w:r>
        <w:rPr>
          <w:rFonts w:ascii="Arial" w:hAnsi="Arial"/>
          <w:b w:val="0"/>
          <w:i w:val="0"/>
          <w:sz w:val="28"/>
        </w:rPr>
        <w:t>Las normas indebidamente aplicadas son el artículo 1o.-A, fracción II, inciso a), y cuarto párrafo, y el artículo 5, fracciones I y IV, ambos de la Ley del Impuesto al Valor Agregado, así como el artículo 27, primer párrafo, fracción V, de la Ley del Impuesto Sobre la Renta. Las normas dejadas de aplicar son el último párrafo del artículo 14 de la Ley del Impuesto al Valor Agregado, el artículo 16 del Código Fiscal de la Federación y el artículo 100, párrafo tercero, fracción I, de la Ley del Impuesto Sobre la Renta.</w:t>
      </w:r>
    </w:p>
    <w:p>
      <w:pPr>
        <w:spacing w:line="360" w:lineRule="auto"/>
        <w:jc w:val="both"/>
      </w:pPr>
      <w:r>
        <w:rPr>
          <w:rFonts w:ascii="Arial" w:hAnsi="Arial"/>
          <w:b w:val="0"/>
          <w:i w:val="0"/>
          <w:sz w:val="28"/>
        </w:rPr>
        <w:t>El vicio se encuadra en el artículo 51, fracción IV, de la Ley Federal de Procedimiento Contencioso Administrativo, esto es, en la causal de ilegalidad por indebida fundamentación y motivación en cuanto al fondo del asunto, y se actualiza en sus dos vertientes: los hechos que motivaron la resolución se apreciaron en forma equivocada, porque se calificó como servicio personal independiente una actividad de naturaleza empresarial; y se dejaron de aplicar las disposiciones debidas, porque se resolvió sobre la naturaleza del servicio sin acudir a los preceptos que la definen.</w:t>
      </w:r>
    </w:p>
    <w:p>
      <w:pPr>
        <w:spacing w:line="360" w:lineRule="auto"/>
        <w:jc w:val="both"/>
      </w:pPr>
      <w:r>
        <w:rPr>
          <w:rFonts w:ascii="Arial" w:hAnsi="Arial"/>
          <w:b w:val="0"/>
          <w:i w:val="0"/>
          <w:sz w:val="28"/>
        </w:rPr>
        <w:t>El perjuicio es directo y patrimonial. La parte actora pagó a su proveedor el impuesto que éste le trasladó, tenía derecho a acreditarlo y a obtener la devolución del saldo a favor resultante, y la autoridad conserva esa cantidad con apoyo en una obligación de retención que nunca existió. Mientras el saldo permanece en poder del fisco, la actora financia con recursos propios un tributo que no le corresponde soportar, sin que exista determinación alguna que declare lo contrario.</w:t>
      </w:r>
    </w:p>
    <w:p>
      <w:pPr>
        <w:spacing w:line="360" w:lineRule="auto"/>
        <w:jc w:val="both"/>
      </w:pPr>
      <w:r>
        <w:rPr>
          <w:rFonts w:ascii="Arial" w:hAnsi="Arial"/>
          <w:b w:val="0"/>
          <w:i w:val="0"/>
          <w:sz w:val="28"/>
        </w:rPr>
        <w:t>Conviene fijar desde ahora los límites de la litis. No se discute aquí la estricta indispensabilidad de las erogaciones, que la autoridad no controvirtió, ni existe crédito fiscal determinado: se trata de una solicitud de devolución resuelta en ejercicio de la facultad de gestión prevista en el artículo 22 del Código Fiscal de la Federación. La cuestión a decidir es una sola: si el impuesto trasladado derivó de un servicio personal independiente o de una actividad empresarial.</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 xml:space="preserve">El punto de partida es el texto del precepto que la autoridad invocó. El artículo 1o.-A de la Ley del Impuesto al Valor Agregado dispone que están obligados a efectuar la retención del impuesto que se les traslade los contribuyentes que se ubiquen en alguno de los supuestos que enumera, y en la fracción II, inciso a), coloca a las personas morales que </w:t>
      </w:r>
      <w:r>
        <w:rPr>
          <w:rFonts w:ascii="Arial" w:hAnsi="Arial"/>
          <w:b w:val="0"/>
          <w:i/>
          <w:sz w:val="28"/>
        </w:rPr>
        <w:t>“Reciban servicios personales independientes, o usen o gocen temporalmente bienes, prestados u otorgados por personas físicas, respectivamente”</w:t>
      </w:r>
      <w:r>
        <w:rPr>
          <w:rFonts w:ascii="Arial" w:hAnsi="Arial"/>
          <w:b w:val="0"/>
          <w:i w:val="0"/>
          <w:sz w:val="28"/>
        </w:rPr>
        <w:t>.</w:t>
      </w:r>
    </w:p>
    <w:p>
      <w:pPr>
        <w:spacing w:line="360" w:lineRule="auto"/>
        <w:jc w:val="both"/>
      </w:pPr>
      <w:r>
        <w:rPr>
          <w:rFonts w:ascii="Arial" w:hAnsi="Arial"/>
          <w:b w:val="0"/>
          <w:i w:val="0"/>
          <w:sz w:val="28"/>
        </w:rPr>
        <w:t xml:space="preserve">El adjetivo no es ornamental. La ley no obliga a retener a la persona moral que recibe cualquier servicio independiente, sino únicamente a la que recibe servicios </w:t>
      </w:r>
      <w:r>
        <w:rPr>
          <w:rFonts w:ascii="Arial" w:hAnsi="Arial"/>
          <w:b/>
          <w:i w:val="0"/>
          <w:sz w:val="28"/>
        </w:rPr>
        <w:t>personales</w:t>
      </w:r>
      <w:r>
        <w:rPr>
          <w:rFonts w:ascii="Arial" w:hAnsi="Arial"/>
          <w:b w:val="0"/>
          <w:i w:val="0"/>
          <w:sz w:val="28"/>
        </w:rPr>
        <w:t xml:space="preserve"> independientes, y el propio ordenamiento define cuándo un servicio merece ese calificativo. El último párrafo del artículo 14 de la Ley del Impuesto al Valor Agregado establece que </w:t>
      </w:r>
      <w:r>
        <w:rPr>
          <w:rFonts w:ascii="Arial" w:hAnsi="Arial"/>
          <w:b w:val="0"/>
          <w:i/>
          <w:sz w:val="28"/>
        </w:rPr>
        <w:t>“Se entenderá que la prestación de servicios independientes tiene la característica de personal, cuando se trate de las actividades señaladas en este artículo que no tengan la naturaleza de actividad empresarial”</w:t>
      </w:r>
      <w:r>
        <w:rPr>
          <w:rFonts w:ascii="Arial" w:hAnsi="Arial"/>
          <w:b w:val="0"/>
          <w:i w:val="0"/>
          <w:sz w:val="28"/>
        </w:rPr>
        <w:t>.</w:t>
      </w:r>
    </w:p>
    <w:p>
      <w:pPr>
        <w:spacing w:line="360" w:lineRule="auto"/>
        <w:jc w:val="both"/>
      </w:pPr>
      <w:r>
        <w:rPr>
          <w:rFonts w:ascii="Arial" w:hAnsi="Arial"/>
          <w:b w:val="0"/>
          <w:i w:val="0"/>
          <w:sz w:val="28"/>
        </w:rPr>
        <w:t xml:space="preserve">La estructura de la norma es, entonces, la de un supuesto con un elemento negativo. Para que nazca la obligación de retener deben concurrir tres extremos: que quien recibe el servicio sea persona moral, que quien lo presta sea persona física y que la actividad </w:t>
      </w:r>
      <w:r>
        <w:rPr>
          <w:rFonts w:ascii="Arial" w:hAnsi="Arial"/>
          <w:b/>
          <w:i w:val="0"/>
          <w:sz w:val="28"/>
        </w:rPr>
        <w:t>no</w:t>
      </w:r>
      <w:r>
        <w:rPr>
          <w:rFonts w:ascii="Arial" w:hAnsi="Arial"/>
          <w:b w:val="0"/>
          <w:i w:val="0"/>
          <w:sz w:val="28"/>
        </w:rPr>
        <w:t xml:space="preserve"> tenga naturaleza empresarial. Faltando cualquiera de ellos, la hipótesis no se actualiza, y el tercero no se satisface con afirmarlo: exige un juicio sobre la sustancia de la operación.</w:t>
      </w:r>
    </w:p>
    <w:p>
      <w:pPr>
        <w:spacing w:line="360" w:lineRule="auto"/>
        <w:jc w:val="both"/>
      </w:pPr>
      <w:r>
        <w:rPr>
          <w:rFonts w:ascii="Arial" w:hAnsi="Arial"/>
          <w:b w:val="0"/>
          <w:i w:val="0"/>
          <w:sz w:val="28"/>
        </w:rPr>
        <w:t>La Ley del Impuesto al Valor Agregado no define qué es actividad empresarial, de modo que el concepto debe tomarse del artículo 16 del Código Fiscal de la Federación, que reputa empresariales las actividades comerciales, las industriales, las agrícolas, las ganaderas, las de pesca y las silvícolas, en los términos que precisa cada fracción. Se trata de un género con seis especies: basta que la actividad encuadre en cualquiera de ellas para que quede excluida del terreno de los servicios personales independientes.</w:t>
      </w:r>
    </w:p>
    <w:p>
      <w:pPr>
        <w:spacing w:line="360" w:lineRule="auto"/>
        <w:jc w:val="both"/>
      </w:pPr>
      <w:r>
        <w:rPr>
          <w:rFonts w:ascii="Arial" w:hAnsi="Arial"/>
          <w:b w:val="0"/>
          <w:i w:val="0"/>
          <w:sz w:val="28"/>
        </w:rPr>
        <w:t>A ese concepto se suma el del artículo 100, párrafo tercero, fracción I, de la Ley del Impuesto Sobre la Renta, que considera ingresos por actividades empresariales los provenientes de la realización de actividades comerciales, industriales, agrícolas, ganaderas, de pesca o silvícolas, y los distingue de los ingresos por servicios profesionales, que son los que derivan de la prestación de un servicio personal independiente. La nota que separa unos de otros es la existencia de una organización empresarial detrás de la prestación.</w:t>
      </w:r>
    </w:p>
    <w:p>
      <w:pPr>
        <w:spacing w:line="360" w:lineRule="auto"/>
        <w:jc w:val="both"/>
      </w:pPr>
      <w:r>
        <w:rPr>
          <w:rFonts w:ascii="Arial" w:hAnsi="Arial"/>
          <w:b w:val="0"/>
          <w:i w:val="0"/>
          <w:sz w:val="28"/>
        </w:rPr>
        <w:t>Fijada la premisa normativa, la operación que sigue es de calificación jurídica de los hechos. La doctrina de la argumentación la describe como la tarea de identificar el concepto jurídico implícito en las circunstancias particulares de los hechos en cuestión.</w:t>
      </w:r>
      <w:r>
        <w:rPr>
          <w:rFonts w:ascii="Arial" w:hAnsi="Arial"/>
          <w:vertAlign w:val="superscript"/>
        </w:rPr>
        <w:t>1</w:t>
      </w:r>
      <w:r>
        <w:rPr>
          <w:rFonts w:ascii="Arial" w:hAnsi="Arial"/>
          <w:b w:val="0"/>
          <w:i w:val="0"/>
          <w:sz w:val="28"/>
        </w:rPr>
        <w:t xml:space="preserve"> Calificar no es leer una etiqueta: es preguntarse qué hay bajo ella, qué se hizo materialmente, con qué medios y con qué finalidad económica, para después confrontar ese material con las notas del supuesto normativo.</w:t>
      </w:r>
    </w:p>
    <w:p>
      <w:pPr>
        <w:spacing w:line="360" w:lineRule="auto"/>
        <w:jc w:val="both"/>
      </w:pPr>
      <w:r>
        <w:rPr>
          <w:rFonts w:ascii="Arial" w:hAnsi="Arial"/>
          <w:b w:val="0"/>
          <w:i w:val="0"/>
          <w:sz w:val="28"/>
        </w:rPr>
        <w:t>Por eso los problemas de calificación son problemas jurídicos y no de simple lectura documental. Se presentan, precisamente, cuando se discute si los hechos primarios que se consideran probados integran o no un caso subsumible en el supuesto de hecho de la norma.</w:t>
      </w:r>
      <w:r>
        <w:rPr>
          <w:rFonts w:ascii="Arial" w:hAnsi="Arial"/>
          <w:vertAlign w:val="superscript"/>
        </w:rPr>
        <w:t>2</w:t>
      </w:r>
      <w:r>
        <w:rPr>
          <w:rFonts w:ascii="Arial" w:hAnsi="Arial"/>
          <w:b w:val="0"/>
          <w:i w:val="0"/>
          <w:sz w:val="28"/>
        </w:rPr>
        <w:t xml:space="preserve"> Ése es el debate de este juicio: no si existió el servicio ni si se pagó, sino si lo que se hizo cabe en la categoría de servicio personal independiente o en la de actividad empresarial.</w:t>
      </w:r>
    </w:p>
    <w:p>
      <w:pPr>
        <w:spacing w:line="360" w:lineRule="auto"/>
        <w:jc w:val="both"/>
      </w:pPr>
      <w:r>
        <w:rPr>
          <w:rFonts w:ascii="Arial" w:hAnsi="Arial"/>
          <w:b w:val="0"/>
          <w:i w:val="0"/>
          <w:sz w:val="28"/>
        </w:rPr>
        <w:t>De ahí deriva la exigencia de motivación. La autoridad que resuelve una solicitud de devolución no cumple con invocar preceptos: debe razonar por qué los hechos del caso configuran la hipótesis normativa que aplica. La doctrina lo dice sin rodeos: la mera invocación de preceptos no basta cuando no se enlaza con las razones que explican por qué resultan aplicables al caso.</w:t>
      </w:r>
      <w:r>
        <w:rPr>
          <w:rFonts w:ascii="Arial" w:hAnsi="Arial"/>
          <w:vertAlign w:val="superscript"/>
        </w:rPr>
        <w:t>3</w:t>
      </w:r>
      <w:r>
        <w:rPr>
          <w:rFonts w:ascii="Arial" w:hAnsi="Arial"/>
          <w:b w:val="0"/>
          <w:i w:val="0"/>
          <w:sz w:val="28"/>
        </w:rPr>
        <w:t xml:space="preserve"> Un acto que enuncia la norma y omite el puente que la une con los hechos es un acto indebidamente fundado y motivado.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en la premisa expuesta. La parte actora contrató con </w:t>
      </w:r>
      <w:r>
        <w:rPr>
          <w:rFonts w:ascii="Arial" w:hAnsi="Arial"/>
          <w:b/>
          <w:i w:val="0"/>
          <w:sz w:val="28"/>
        </w:rPr>
        <w:t>[PROVEEDOR PERSONA FÍSICA]</w:t>
      </w:r>
      <w:r>
        <w:rPr>
          <w:rFonts w:ascii="Arial" w:hAnsi="Arial"/>
          <w:b w:val="0"/>
          <w:i w:val="0"/>
          <w:sz w:val="28"/>
        </w:rPr>
        <w:t xml:space="preserve"> la prestación de </w:t>
      </w:r>
      <w:r>
        <w:rPr>
          <w:rFonts w:ascii="Arial" w:hAnsi="Arial"/>
          <w:b/>
          <w:i w:val="0"/>
          <w:sz w:val="28"/>
        </w:rPr>
        <w:t>[DESCRIPCIÓN MATERIAL DEL SERVICIO CONTRATADO]</w:t>
      </w:r>
      <w:r>
        <w:rPr>
          <w:rFonts w:ascii="Arial" w:hAnsi="Arial"/>
          <w:b w:val="0"/>
          <w:i w:val="0"/>
          <w:sz w:val="28"/>
        </w:rPr>
        <w:t xml:space="preserve">, operación que consta en </w:t>
      </w:r>
      <w:r>
        <w:rPr>
          <w:rFonts w:ascii="Arial" w:hAnsi="Arial"/>
          <w:b/>
          <w:i w:val="0"/>
          <w:sz w:val="28"/>
        </w:rPr>
        <w:t>[DOCUMENTOS DEL EXPEDIENTE ADMINISTRATIVO]</w:t>
      </w:r>
      <w:r>
        <w:rPr>
          <w:rFonts w:ascii="Arial" w:hAnsi="Arial"/>
          <w:b w:val="0"/>
          <w:i w:val="0"/>
          <w:sz w:val="28"/>
        </w:rPr>
        <w:t>, documentos que la propia autoridad tuvo a la vista al integrar el expediente administrativo del que derivó la resolución impugnada, y respecto de los cuales no formuló objeción ni observación alguna.</w:t>
      </w:r>
    </w:p>
    <w:p>
      <w:pPr>
        <w:spacing w:line="360" w:lineRule="auto"/>
        <w:jc w:val="both"/>
      </w:pPr>
      <w:r>
        <w:rPr>
          <w:rFonts w:ascii="Arial" w:hAnsi="Arial"/>
          <w:b w:val="0"/>
          <w:i w:val="0"/>
          <w:sz w:val="28"/>
        </w:rPr>
        <w:t xml:space="preserve">De ese material se desprende que la actividad contratada supone </w:t>
      </w:r>
      <w:r>
        <w:rPr>
          <w:rFonts w:ascii="Arial" w:hAnsi="Arial"/>
          <w:b/>
          <w:i w:val="0"/>
          <w:sz w:val="28"/>
        </w:rPr>
        <w:t>[ELEMENTOS DE ORGANIZACIÓN EMPRESARIAL DEL PROVEEDOR]</w:t>
      </w:r>
      <w:r>
        <w:rPr>
          <w:rFonts w:ascii="Arial" w:hAnsi="Arial"/>
          <w:b w:val="0"/>
          <w:i w:val="0"/>
          <w:sz w:val="28"/>
        </w:rPr>
        <w:t>, esto es, una estructura operativa que excede con mucho la ejecución personal de una obligación de hacer. Herramientas, logística, transporte y contratación de personal auxiliar son los elementos típicos de una organización empresarial, y la organización empresarial es precisamente la nota que separa la actividad empresarial del servicio profesional en el deslinde que traza el artículo 100, párrafo tercero, fracción I, de la Ley del Impuesto Sobre la Renta.</w:t>
      </w:r>
    </w:p>
    <w:p>
      <w:pPr>
        <w:spacing w:line="360" w:lineRule="auto"/>
        <w:jc w:val="both"/>
      </w:pPr>
      <w:r>
        <w:rPr>
          <w:rFonts w:ascii="Arial" w:hAnsi="Arial"/>
          <w:b w:val="0"/>
          <w:i w:val="0"/>
          <w:sz w:val="28"/>
        </w:rPr>
        <w:t xml:space="preserve">Pese a ello, la autoridad resolvió con la siguiente motivación: </w:t>
      </w:r>
      <w:r>
        <w:rPr>
          <w:rFonts w:ascii="Arial" w:hAnsi="Arial"/>
          <w:b/>
          <w:i w:val="0"/>
          <w:sz w:val="28"/>
        </w:rPr>
        <w:t>[TRANSCRIPCIÓN DE LA MOTIVACIÓN DE LA AUTORIDAD]</w:t>
      </w:r>
      <w:r>
        <w:rPr>
          <w:rFonts w:ascii="Arial" w:hAnsi="Arial"/>
          <w:b w:val="0"/>
          <w:i w:val="0"/>
          <w:sz w:val="28"/>
        </w:rPr>
        <w:t xml:space="preserve">. Su razonamiento se reduce a dos datos: que los comprobantes fiscales asientan el concepto </w:t>
      </w:r>
      <w:r>
        <w:rPr>
          <w:rFonts w:ascii="Arial" w:hAnsi="Arial"/>
          <w:b/>
          <w:i w:val="0"/>
          <w:sz w:val="28"/>
        </w:rPr>
        <w:t>[CONCEPTO ASENTADO EN LOS COMPROBANTES FISCALES]</w:t>
      </w:r>
      <w:r>
        <w:rPr>
          <w:rFonts w:ascii="Arial" w:hAnsi="Arial"/>
          <w:b w:val="0"/>
          <w:i w:val="0"/>
          <w:sz w:val="28"/>
        </w:rPr>
        <w:t xml:space="preserve"> y que el prestador es una persona física. De ahí concluyó que se actualizó la hipótesis del artículo 1o.-A, fracción II, inciso a), de la Ley del Impuesto al Valor Agregado y que, al no haberse retenido, el gasto no reunía los requisitos del artículo 27, primer párrafo, fracción V, de la Ley del Impuesto Sobre la Renta.</w:t>
      </w:r>
    </w:p>
    <w:p>
      <w:pPr>
        <w:spacing w:line="360" w:lineRule="auto"/>
        <w:jc w:val="both"/>
      </w:pPr>
      <w:r>
        <w:rPr>
          <w:rFonts w:ascii="Arial" w:hAnsi="Arial"/>
          <w:b w:val="0"/>
          <w:i w:val="0"/>
          <w:sz w:val="28"/>
        </w:rPr>
        <w:t>Ese razonamiento es inválido, y conviene nombrar el error. En primer lugar, incurre en petición de principio, falacia que consiste en incluir en las premisas, explícita o implícitamente, aquello que se trata de probar, de modo que se aparenta demostrar cuando en realidad se da por sentado lo cuestionable.</w:t>
      </w:r>
      <w:r>
        <w:rPr>
          <w:rFonts w:ascii="Arial" w:hAnsi="Arial"/>
          <w:vertAlign w:val="superscript"/>
        </w:rPr>
        <w:t>4</w:t>
      </w:r>
      <w:r>
        <w:rPr>
          <w:rFonts w:ascii="Arial" w:hAnsi="Arial"/>
          <w:b w:val="0"/>
          <w:i w:val="0"/>
          <w:sz w:val="28"/>
        </w:rPr>
        <w:t xml:space="preserve"> La autoridad debía probar que el servicio era personal, y lo tuvo por probado con el solo hecho de que el comprobante lo denomina </w:t>
      </w:r>
      <w:r>
        <w:rPr>
          <w:rFonts w:ascii="Arial" w:hAnsi="Arial"/>
          <w:b w:val="0"/>
          <w:i/>
          <w:sz w:val="28"/>
        </w:rPr>
        <w:t>“servicio”</w:t>
      </w:r>
      <w:r>
        <w:rPr>
          <w:rFonts w:ascii="Arial" w:hAnsi="Arial"/>
          <w:b w:val="0"/>
          <w:i w:val="0"/>
          <w:sz w:val="28"/>
        </w:rPr>
        <w:t>: afirmó la conclusión y la presentó como premisa.</w:t>
      </w:r>
    </w:p>
    <w:p>
      <w:pPr>
        <w:spacing w:line="360" w:lineRule="auto"/>
        <w:jc w:val="both"/>
      </w:pPr>
      <w:r>
        <w:rPr>
          <w:rFonts w:ascii="Arial" w:hAnsi="Arial"/>
          <w:b w:val="0"/>
          <w:i w:val="0"/>
          <w:sz w:val="28"/>
        </w:rPr>
        <w:t xml:space="preserve">La estructura del vicio se aprecia con nitidez si se desarma el silogismo. La premisa mayor correcta es: </w:t>
      </w:r>
      <w:r>
        <w:rPr>
          <w:rFonts w:ascii="Arial" w:hAnsi="Arial"/>
          <w:b w:val="0"/>
          <w:i/>
          <w:sz w:val="28"/>
        </w:rPr>
        <w:t>“hay obligación de retener cuando el servicio es independiente y no tiene naturaleza empresarial”</w:t>
      </w:r>
      <w:r>
        <w:rPr>
          <w:rFonts w:ascii="Arial" w:hAnsi="Arial"/>
          <w:b w:val="0"/>
          <w:i w:val="0"/>
          <w:sz w:val="28"/>
        </w:rPr>
        <w:t xml:space="preserve">. La autoridad la sustituyó por otra: </w:t>
      </w:r>
      <w:r>
        <w:rPr>
          <w:rFonts w:ascii="Arial" w:hAnsi="Arial"/>
          <w:b w:val="0"/>
          <w:i/>
          <w:sz w:val="28"/>
        </w:rPr>
        <w:t>“hay obligación de retener cuando el comprobante dice servicio y el prestador es persona física”</w:t>
      </w:r>
      <w:r>
        <w:rPr>
          <w:rFonts w:ascii="Arial" w:hAnsi="Arial"/>
          <w:b w:val="0"/>
          <w:i w:val="0"/>
          <w:sz w:val="28"/>
        </w:rPr>
        <w:t>. Con esa sustitución eliminó del supuesto el elemento que tenía que verificar, y por esa vía convirtió en superflua la única cuestión debatida.</w:t>
      </w:r>
    </w:p>
    <w:p>
      <w:pPr>
        <w:spacing w:line="360" w:lineRule="auto"/>
        <w:jc w:val="both"/>
      </w:pPr>
      <w:r>
        <w:rPr>
          <w:rFonts w:ascii="Arial" w:hAnsi="Arial"/>
          <w:b w:val="0"/>
          <w:i w:val="0"/>
          <w:sz w:val="28"/>
        </w:rPr>
        <w:t>En segundo lugar, la inferencia es un non sequitur, denominación genérica de todos aquellos argumentos en que la conclusión no se sigue de las premisas.</w:t>
      </w:r>
      <w:r>
        <w:rPr>
          <w:rFonts w:ascii="Arial" w:hAnsi="Arial"/>
          <w:vertAlign w:val="superscript"/>
        </w:rPr>
        <w:t>5</w:t>
      </w:r>
      <w:r>
        <w:rPr>
          <w:rFonts w:ascii="Arial" w:hAnsi="Arial"/>
          <w:b w:val="0"/>
          <w:i w:val="0"/>
          <w:sz w:val="28"/>
        </w:rPr>
        <w:t xml:space="preserve"> Es cierto que el prestador es persona física y que el comprobante ampara una prestación de servicios; ninguna de esas dos verdades permite concluir que el servicio sea </w:t>
      </w:r>
      <w:r>
        <w:rPr>
          <w:rFonts w:ascii="Arial" w:hAnsi="Arial"/>
          <w:b/>
          <w:i w:val="0"/>
          <w:sz w:val="28"/>
        </w:rPr>
        <w:t>personal</w:t>
      </w:r>
      <w:r>
        <w:rPr>
          <w:rFonts w:ascii="Arial" w:hAnsi="Arial"/>
          <w:b w:val="0"/>
          <w:i w:val="0"/>
          <w:sz w:val="28"/>
        </w:rPr>
        <w:t xml:space="preserve"> en el sentido del último párrafo del artículo 14 de la Ley del Impuesto al Valor Agregado, pues el propio artículo 16 del Código Fiscal de la Federación reputa empresa a la persona física que realiza las actividades que enumera: ser persona física no excluye el carácter empresarial.</w:t>
      </w:r>
    </w:p>
    <w:p>
      <w:pPr>
        <w:spacing w:line="360" w:lineRule="auto"/>
        <w:jc w:val="both"/>
      </w:pPr>
      <w:r>
        <w:rPr>
          <w:rFonts w:ascii="Arial" w:hAnsi="Arial"/>
          <w:b w:val="0"/>
          <w:i w:val="0"/>
          <w:sz w:val="28"/>
        </w:rPr>
        <w:t>En tercer lugar, la autoridad invirtió indebidamente la carga de la prueba. El principio elemental en la materia postula que quien afirma un hecho en el proceso debe probarlo, sin que baste la sola declaración del funcionario para tener por acreditada la verdad de su dicho.</w:t>
      </w:r>
      <w:r>
        <w:rPr>
          <w:rFonts w:ascii="Arial" w:hAnsi="Arial"/>
          <w:vertAlign w:val="superscript"/>
        </w:rPr>
        <w:t>6</w:t>
      </w:r>
      <w:r>
        <w:rPr>
          <w:rFonts w:ascii="Arial" w:hAnsi="Arial"/>
          <w:b w:val="0"/>
          <w:i w:val="0"/>
          <w:sz w:val="28"/>
        </w:rPr>
        <w:t xml:space="preserve"> La afirmación de que la actividad no era empresarial es de la autoridad y le beneficia; no es un hecho propio de la solicitante, que no puede ser obligada a demostrar cómo está organizada internamente la empresa de un tercero.</w:t>
      </w:r>
    </w:p>
    <w:p>
      <w:pPr>
        <w:spacing w:line="360" w:lineRule="auto"/>
        <w:jc w:val="both"/>
      </w:pPr>
      <w:r>
        <w:rPr>
          <w:rFonts w:ascii="Arial" w:hAnsi="Arial"/>
          <w:b w:val="0"/>
          <w:i w:val="0"/>
          <w:sz w:val="28"/>
        </w:rPr>
        <w:t>Menos aún cuando el ordenamiento le entrega a la autoridad la herramienta idónea para despejar esa duda. El artículo 22-D, fracción II, del Código Fiscal de la Federación le permite ejercer facultades de comprobación en el trámite de la devolución, y nada le impedía compulsar al proveedor, requerirle información o verificar sus instalaciones. Optó por no hacerlo y, sin embargo, resolvió como si la naturaleza empresarial hubiera quedado desvirtuada. Lo que no se investigó no puede tenerse por descartado.</w:t>
      </w:r>
    </w:p>
    <w:p>
      <w:pPr>
        <w:spacing w:line="360" w:lineRule="auto"/>
        <w:jc w:val="both"/>
      </w:pPr>
      <w:r>
        <w:rPr>
          <w:rFonts w:ascii="Arial" w:hAnsi="Arial"/>
          <w:b w:val="0"/>
          <w:i w:val="0"/>
          <w:sz w:val="28"/>
        </w:rPr>
        <w:t xml:space="preserve">Es previsible que la autoridad conteste que la actividad no constituye </w:t>
      </w:r>
      <w:r>
        <w:rPr>
          <w:rFonts w:ascii="Arial" w:hAnsi="Arial"/>
          <w:b w:val="0"/>
          <w:i/>
          <w:sz w:val="28"/>
        </w:rPr>
        <w:t>“acabado de productos”</w:t>
      </w:r>
      <w:r>
        <w:rPr>
          <w:rFonts w:ascii="Arial" w:hAnsi="Arial"/>
          <w:b w:val="0"/>
          <w:i w:val="0"/>
          <w:sz w:val="28"/>
        </w:rPr>
        <w:t xml:space="preserve"> en términos de la fracción II del artículo 16 del Código Fiscal de la Federación, porque no hay transformación de materias primas. La objeción es inconducente, y conviene desactivarla desde ahora: el artículo 16 no reduce el género empresarial a la especie industrial. Aun concediendo que no haya transformación, quedan en pie las fracciones III a VI, que reputan empresariales las actividades agrícolas, ganaderas, de pesca y silvícolas.</w:t>
      </w:r>
    </w:p>
    <w:p>
      <w:pPr>
        <w:spacing w:line="360" w:lineRule="auto"/>
        <w:jc w:val="both"/>
      </w:pPr>
      <w:r>
        <w:rPr>
          <w:rFonts w:ascii="Arial" w:hAnsi="Arial"/>
          <w:b w:val="0"/>
          <w:i w:val="0"/>
          <w:sz w:val="28"/>
        </w:rPr>
        <w:t>En efecto, cuando la labor contratada constituye una etapa complementaria e inseparable del proceso productivo primario, orientada a preparar el producto obtenido del campo para su comercialización o empaque sin alterar su composición esencial, su naturaleza sigue siendo agrícola, y lo agrícola es empresarial por disposición expresa del artículo 16, fracción III, del Código Fiscal de la Federación y del artículo 100, párrafo tercero, fracción I, de la Ley del Impuesto Sobre la Renta. La operación es empresarial precisamente porque es agrícola, aunque no exista transformación sustancial del producto.</w:t>
      </w:r>
    </w:p>
    <w:p>
      <w:pPr>
        <w:spacing w:line="360" w:lineRule="auto"/>
        <w:jc w:val="both"/>
      </w:pPr>
      <w:r>
        <w:rPr>
          <w:rFonts w:ascii="Arial" w:hAnsi="Arial"/>
          <w:b w:val="0"/>
          <w:i w:val="0"/>
          <w:sz w:val="28"/>
        </w:rPr>
        <w:t xml:space="preserve">Conviene añadir que el concepto gramatical de </w:t>
      </w:r>
      <w:r>
        <w:rPr>
          <w:rFonts w:ascii="Arial" w:hAnsi="Arial"/>
          <w:b w:val="0"/>
          <w:i/>
          <w:sz w:val="28"/>
        </w:rPr>
        <w:t>“industria”</w:t>
      </w:r>
      <w:r>
        <w:rPr>
          <w:rFonts w:ascii="Arial" w:hAnsi="Arial"/>
          <w:b w:val="0"/>
          <w:i w:val="0"/>
          <w:sz w:val="28"/>
        </w:rPr>
        <w:t xml:space="preserve"> al que suele acudirse, y que se enuncia como </w:t>
      </w:r>
      <w:r>
        <w:rPr>
          <w:rFonts w:ascii="Arial" w:hAnsi="Arial"/>
          <w:b w:val="0"/>
          <w:i/>
          <w:sz w:val="28"/>
        </w:rPr>
        <w:t>“el conjunto de actividades económicas que tienen por objeto la transformación de materias primas en productos semielaborados, o de éstos en acabados, por medio de un proceso mecánico con división de trabajo y especialización”</w:t>
      </w:r>
      <w:r>
        <w:rPr>
          <w:rFonts w:ascii="Arial" w:hAnsi="Arial"/>
          <w:b w:val="0"/>
          <w:i w:val="0"/>
          <w:sz w:val="28"/>
        </w:rPr>
        <w:t>, se ha construido en sede ajena a la fiscal y sólo sirve para delimitar la especie industrial. Emplearlo para negar el carácter empresarial de una actividad agrícola es extender una definición más allá de su función.</w:t>
      </w:r>
    </w:p>
    <w:p>
      <w:pPr>
        <w:spacing w:line="360" w:lineRule="auto"/>
        <w:jc w:val="both"/>
      </w:pPr>
      <w:r>
        <w:rPr>
          <w:rFonts w:ascii="Arial" w:hAnsi="Arial"/>
          <w:b w:val="0"/>
          <w:i w:val="0"/>
          <w:sz w:val="28"/>
        </w:rPr>
        <w:t>Caída la premisa de la retención, se desmorona el resto de la resolución. El artículo 27, primer párrafo, fracción V, de la Ley del Impuesto Sobre la Renta fue indebidamente aplicado por partida doble: porque su supuesto —la omisión de retener— no se actualizó, y porque ese precepto no contiene los requisitos de acreditamiento del impuesto al valor agregado, sin que la autoridad haya razonado por qué lo consideraba aplicable. Otro tanto ocurre con el artículo 5, fracciones I y IV, de la Ley del Impuesto al Valor Agregado, invocado sin explicar por qué resultaba aplicable al caso.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obligación de retener del artículo 1o.-A, fracción II, inciso a), de la Ley del Impuesto al Valor Agregado presupone un servicio personal independiente; el último párrafo del artículo 14 de esa ley condiciona ese carácter a que la actividad no sea empresarial; el artículo 16 del Código Fiscal de la Federación y el artículo 100, párrafo tercero, fracción I, de la Ley del Impuesto Sobre la Renta definen esa naturaleza; y la autoridad resolvió sin verificar ese elemento, con una motivación que da por probado lo que debía demostrar.</w:t>
      </w:r>
    </w:p>
    <w:p>
      <w:pPr>
        <w:spacing w:line="360" w:lineRule="auto"/>
        <w:jc w:val="both"/>
      </w:pPr>
      <w:r>
        <w:rPr>
          <w:rFonts w:ascii="Arial" w:hAnsi="Arial"/>
          <w:b w:val="0"/>
          <w:i w:val="0"/>
          <w:sz w:val="28"/>
        </w:rPr>
        <w:t xml:space="preserve">Por ello, con fundamento en los artículos 51, fracción IV, y 52, fracción V, incisos a) y b), de la Ley Federal de Procedimiento Contencioso Administrativo, procede declarar la nulidad de la resolución impugnada y, en su caso, de la inicialmente recurrida, reconocer el derecho subjetivo de la parte actora a la devolución del saldo a favor de </w:t>
      </w:r>
      <w:r>
        <w:rPr>
          <w:rFonts w:ascii="Arial" w:hAnsi="Arial"/>
          <w:b/>
          <w:i w:val="0"/>
          <w:sz w:val="28"/>
        </w:rPr>
        <w:t>[PERIODO DEL SALDO A FAVOR]</w:t>
      </w:r>
      <w:r>
        <w:rPr>
          <w:rFonts w:ascii="Arial" w:hAnsi="Arial"/>
          <w:b w:val="0"/>
          <w:i w:val="0"/>
          <w:sz w:val="28"/>
        </w:rPr>
        <w:t xml:space="preserve"> y ordenar que se emita nueva resolución que acoja la conclusión de esa Sala Regional y ordene la devolución actualizada, con los intereses que correspondan conforme al artículo 22-A del Código Fiscal de la Federación.</w:t>
      </w:r>
    </w:p>
    <w:p>
      <w:pPr>
        <w:spacing w:line="360" w:lineRule="auto"/>
        <w:jc w:val="both"/>
      </w:pPr>
      <w:r>
        <w:rPr>
          <w:rFonts w:ascii="Arial" w:hAnsi="Arial"/>
          <w:b w:val="0"/>
          <w:i w:val="0"/>
          <w:sz w:val="28"/>
        </w:rPr>
        <w:t>Se solicita, asimismo, que la nulidad se declare con efectos plenos. Como la autoridad no expuso ningún otro motivo para cuestionar el derecho al saldo a favor, por razones de seguridad jurídica y en virtud del principio de preclusión no debe concedérsele una segunda oportunidad para ejercer respecto de la misma solicitud la facultad de gestión del artículo 22 del Código Fiscal de la Federación, sin perjuicio de que conserve íntegras sus facultades de comprobación para vigilar la situación fiscal de la contribuyente.</w:t>
      </w:r>
    </w:p>
    <w:p>
      <w:pPr>
        <w:spacing w:line="360" w:lineRule="auto"/>
        <w:jc w:val="both"/>
      </w:pPr>
      <w:r>
        <w:rPr>
          <w:rFonts w:ascii="Arial" w:hAnsi="Arial"/>
          <w:b w:val="0"/>
          <w:i w:val="0"/>
          <w:sz w:val="28"/>
        </w:rPr>
        <w:t>Ese pronunciamiento encuentra apoyo en la regla del artículo 57, fracción I, inciso c), de la Ley Federal de Procedimiento Contencioso Administrativo, conforme a la cual en ningún caso el nuevo acto administrativo puede perjudicar más al actor que la resolución anulada, regla que impide a la demandada esgrimir argumentos nuevos al cumplir la sentencia, porque de otro modo el acto de cumplimiento resultaría más gravoso que el anulado y el juicio habría servido de poco.</w:t>
      </w:r>
    </w:p>
    <w:p>
      <w:pPr>
        <w:spacing w:line="360" w:lineRule="auto"/>
        <w:jc w:val="both"/>
      </w:pPr>
      <w:r>
        <w:rPr>
          <w:rFonts w:ascii="Arial" w:hAnsi="Arial"/>
          <w:b w:val="0"/>
          <w:i w:val="0"/>
          <w:sz w:val="28"/>
        </w:rPr>
        <w:t>Finalmente, se pide que el cumplimiento se ordene dentro del plazo que la Ley Federal de Procedimiento Contencioso Administrativo prevé para el cumplimiento de las sentencias, contado a partir de que quede firme el fallo, y que en la propia sentencia se precisen los lineamientos a los que deberá sujetarse la nueva resolución, a fin de evitar que el cumplimiento se convierta en una segunda instancia de discusión sobre una cuestión que ya habrá quedado resuelta.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91.</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TRON PETIT, op. cit.</w:t>
      </w:r>
      <w:r>
        <w:rPr>
          <w:rFonts w:ascii="Arial" w:hAnsi="Arial"/>
          <w:i w:val="0"/>
          <w:sz w:val="20"/>
        </w:rPr>
        <w:t>, p. 103.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389.</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34.</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 p. 228.</w:t>
      </w:r>
    </w:p>
    <w:p/>
    <w:p>
      <w:r>
        <w:rPr>
          <w:rFonts w:ascii="Arial" w:hAnsi="Arial"/>
          <w:b/>
          <w:sz w:val="22"/>
        </w:rPr>
        <w:t>BIBLIOGRAFÍA</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