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INCOMPETENCIA DEL FUNCIONARIO QUE ORDENÓ LA VISITA DOMICILIARIA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a tu demanda de nulidad. Antes de llenar un solo campo reúne cuatro documentos: la orden de visita domiciliaria, la resolución que determinó el crédito fiscal, la resolución que decidió el recurso administrativo y el texto del reglamento interior o decreto vigente a la fecha de la orden, descargado del periódico oficial correspondiente.</w:t>
      </w:r>
    </w:p>
    <w:p>
      <w:pPr>
        <w:spacing w:line="360" w:lineRule="auto"/>
        <w:jc w:val="both"/>
      </w:pPr>
      <w:r>
        <w:rPr>
          <w:rFonts w:ascii="Arial" w:hAnsi="Arial"/>
          <w:b w:val="0"/>
          <w:i w:val="0"/>
          <w:sz w:val="24"/>
        </w:rPr>
        <w:t>El trabajo fino es un cotejo: copia la denominación exacta del cargo que firma la orden y búscala, literal, en el ordenamiento que la propia orden invoca. Si no aparece creada ahí, el concepto procede; si aparece, revisa si el precepto le asigna la facultad de ordenar visitas o sólo la de auxiliar a su superior. Transcribe el apartado de competencia de la orden sin corregirle nada, porque la fuerza del concepto está en el contraste literal.</w:t>
      </w:r>
    </w:p>
    <w:p>
      <w:pPr>
        <w:spacing w:line="360" w:lineRule="auto"/>
        <w:jc w:val="both"/>
      </w:pPr>
      <w:r>
        <w:rPr>
          <w:rFonts w:ascii="Arial" w:hAnsi="Arial"/>
          <w:b w:val="0"/>
          <w:i w:val="0"/>
          <w:sz w:val="24"/>
        </w:rPr>
        <w:t>Recuerda que la demanda de nulidad se presenta dentro de los treinta días siguientes a aquel en que surta efectos la notificación de la resolución impugnada, conforme a la Ley Federal de Procedimiento Contencioso Administrativo; ese mismo plazo de treinta días rige en la vía sumaria, donde lo fija el artículo 58-2, párrafo tercero, de esa ley. Al final, audita el escrito: cada precepto citado debe corresponder al ordenamiento y a la versión vigente en la fecha del acto.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Colócalo primero si buscas el estudio por mayor beneficio.</w:t>
      </w:r>
    </w:p>
    <w:p>
      <w:pPr>
        <w:spacing w:line="360" w:lineRule="auto"/>
        <w:jc w:val="both"/>
      </w:pPr>
      <w:r>
        <w:rPr>
          <w:rFonts w:ascii="Arial" w:hAnsi="Arial"/>
          <w:b/>
          <w:i w:val="0"/>
          <w:sz w:val="24"/>
        </w:rPr>
        <w:t>[NOMBRE DE LA PARTE ACTORA]</w:t>
      </w:r>
      <w:r>
        <w:rPr>
          <w:rFonts w:ascii="Arial" w:hAnsi="Arial"/>
          <w:b w:val="0"/>
          <w:i w:val="0"/>
          <w:sz w:val="24"/>
        </w:rPr>
        <w:t>: la denominación o razón social del contribuyente a quien se determinó el crédito.</w:t>
      </w:r>
    </w:p>
    <w:p>
      <w:pPr>
        <w:spacing w:line="360" w:lineRule="auto"/>
        <w:jc w:val="both"/>
      </w:pPr>
      <w:r>
        <w:rPr>
          <w:rFonts w:ascii="Arial" w:hAnsi="Arial"/>
          <w:b/>
          <w:i w:val="0"/>
          <w:sz w:val="24"/>
        </w:rPr>
        <w:t>[SALA REGIONAL COMPETENTE]</w:t>
      </w:r>
      <w:r>
        <w:rPr>
          <w:rFonts w:ascii="Arial" w:hAnsi="Arial"/>
          <w:b w:val="0"/>
          <w:i w:val="0"/>
          <w:sz w:val="24"/>
        </w:rPr>
        <w:t>: la Sala Regional del Tribunal Federal de Justicia Administrativa que corresponda al domicilio fiscal de la parte actora.</w:t>
      </w:r>
    </w:p>
    <w:p>
      <w:pPr>
        <w:spacing w:line="360" w:lineRule="auto"/>
        <w:jc w:val="both"/>
      </w:pPr>
      <w:r>
        <w:rPr>
          <w:rFonts w:ascii="Arial" w:hAnsi="Arial"/>
          <w:b/>
          <w:i w:val="0"/>
          <w:sz w:val="24"/>
        </w:rPr>
        <w:t>[AUTORIDAD DEMANDADA]</w:t>
      </w:r>
      <w:r>
        <w:rPr>
          <w:rFonts w:ascii="Arial" w:hAnsi="Arial"/>
          <w:b w:val="0"/>
          <w:i w:val="0"/>
          <w:sz w:val="24"/>
        </w:rPr>
        <w:t>: la autoridad que emitió la resolución impugnada, con su denominación completa.</w:t>
      </w:r>
    </w:p>
    <w:p>
      <w:pPr>
        <w:spacing w:line="360" w:lineRule="auto"/>
        <w:jc w:val="both"/>
      </w:pPr>
      <w:r>
        <w:rPr>
          <w:rFonts w:ascii="Arial" w:hAnsi="Arial"/>
          <w:b/>
          <w:i w:val="0"/>
          <w:sz w:val="24"/>
        </w:rPr>
        <w:t>[OFICIO Y FECHA DE LA RESOLUCIÓN IMPUGNADA]</w:t>
      </w:r>
      <w:r>
        <w:rPr>
          <w:rFonts w:ascii="Arial" w:hAnsi="Arial"/>
          <w:b w:val="0"/>
          <w:i w:val="0"/>
          <w:sz w:val="24"/>
        </w:rPr>
        <w:t>: número de oficio y fecha de la resolución que decidió el recurso administrativo.</w:t>
      </w:r>
    </w:p>
    <w:p>
      <w:pPr>
        <w:spacing w:line="360" w:lineRule="auto"/>
        <w:jc w:val="both"/>
      </w:pPr>
      <w:r>
        <w:rPr>
          <w:rFonts w:ascii="Arial" w:hAnsi="Arial"/>
          <w:b/>
          <w:i w:val="0"/>
          <w:sz w:val="24"/>
        </w:rPr>
        <w:t>[OFICIO Y FECHA DE LA RESOLUCIÓN RECURRIDA]</w:t>
      </w:r>
      <w:r>
        <w:rPr>
          <w:rFonts w:ascii="Arial" w:hAnsi="Arial"/>
          <w:b w:val="0"/>
          <w:i w:val="0"/>
          <w:sz w:val="24"/>
        </w:rPr>
        <w:t>: número de oficio y fecha de la resolución que determinó el crédito fiscal.</w:t>
      </w:r>
    </w:p>
    <w:p>
      <w:pPr>
        <w:spacing w:line="360" w:lineRule="auto"/>
        <w:jc w:val="both"/>
      </w:pPr>
      <w:r>
        <w:rPr>
          <w:rFonts w:ascii="Arial" w:hAnsi="Arial"/>
          <w:b/>
          <w:i w:val="0"/>
          <w:sz w:val="24"/>
        </w:rPr>
        <w:t>[NÚMERO Y FECHA DEL RECURSO ADMINISTRATIVO]</w:t>
      </w:r>
      <w:r>
        <w:rPr>
          <w:rFonts w:ascii="Arial" w:hAnsi="Arial"/>
          <w:b w:val="0"/>
          <w:i w:val="0"/>
          <w:sz w:val="24"/>
        </w:rPr>
        <w:t>: el número de expediente del recurso de revocación o del medio de defensa que agotaste.</w:t>
      </w:r>
    </w:p>
    <w:p>
      <w:pPr>
        <w:spacing w:line="360" w:lineRule="auto"/>
        <w:jc w:val="both"/>
      </w:pPr>
      <w:r>
        <w:rPr>
          <w:rFonts w:ascii="Arial" w:hAnsi="Arial"/>
          <w:b/>
          <w:i w:val="0"/>
          <w:sz w:val="24"/>
        </w:rPr>
        <w:t>[OFICIO Y FECHA DE LA ORDEN DE VISITA]</w:t>
      </w:r>
      <w:r>
        <w:rPr>
          <w:rFonts w:ascii="Arial" w:hAnsi="Arial"/>
          <w:b w:val="0"/>
          <w:i w:val="0"/>
          <w:sz w:val="24"/>
        </w:rPr>
        <w:t>: número de oficio y fecha de la orden de visita domiciliaria que inició la fiscalización.</w:t>
      </w:r>
    </w:p>
    <w:p>
      <w:pPr>
        <w:spacing w:line="360" w:lineRule="auto"/>
        <w:jc w:val="both"/>
      </w:pPr>
      <w:r>
        <w:rPr>
          <w:rFonts w:ascii="Arial" w:hAnsi="Arial"/>
          <w:b/>
          <w:i w:val="0"/>
          <w:sz w:val="24"/>
        </w:rPr>
        <w:t>[DENOMINACIÓN EXACTA DEL CARGO DE LA AUTORIDAD EMISORA]</w:t>
      </w:r>
      <w:r>
        <w:rPr>
          <w:rFonts w:ascii="Arial" w:hAnsi="Arial"/>
          <w:b w:val="0"/>
          <w:i w:val="0"/>
          <w:sz w:val="24"/>
        </w:rPr>
        <w:t>: el cargo del firmante de la orden, copiado literalmente, incluida la adscripción.</w:t>
      </w:r>
    </w:p>
    <w:p>
      <w:pPr>
        <w:spacing w:line="360" w:lineRule="auto"/>
        <w:jc w:val="both"/>
      </w:pPr>
      <w:r>
        <w:rPr>
          <w:rFonts w:ascii="Arial" w:hAnsi="Arial"/>
          <w:b/>
          <w:i w:val="0"/>
          <w:sz w:val="24"/>
        </w:rPr>
        <w:t>[REGLAMENTO INTERIOR O DECRETO INVOCADO Y SU FECHA DE PUBLICACIÓN]</w:t>
      </w:r>
      <w:r>
        <w:rPr>
          <w:rFonts w:ascii="Arial" w:hAnsi="Arial"/>
          <w:b w:val="0"/>
          <w:i w:val="0"/>
          <w:sz w:val="24"/>
        </w:rPr>
        <w:t>: el ordenamiento donde debía constar la creación del órgano, con su fecha de publicación oficial.</w:t>
      </w:r>
    </w:p>
    <w:p>
      <w:pPr>
        <w:spacing w:line="360" w:lineRule="auto"/>
        <w:jc w:val="both"/>
      </w:pPr>
      <w:r>
        <w:rPr>
          <w:rFonts w:ascii="Arial" w:hAnsi="Arial"/>
          <w:b/>
          <w:i w:val="0"/>
          <w:sz w:val="24"/>
        </w:rPr>
        <w:t>[PRECEPTOS DE COMPETENCIA CITADOS EN LA ORDEN]</w:t>
      </w:r>
      <w:r>
        <w:rPr>
          <w:rFonts w:ascii="Arial" w:hAnsi="Arial"/>
          <w:b w:val="0"/>
          <w:i w:val="0"/>
          <w:sz w:val="24"/>
        </w:rPr>
        <w:t>: la lista de artículos, fracciones y cláusulas en que la orden fundó su competencia.</w:t>
      </w:r>
    </w:p>
    <w:p>
      <w:pPr>
        <w:spacing w:line="360" w:lineRule="auto"/>
        <w:jc w:val="both"/>
      </w:pPr>
      <w:r>
        <w:rPr>
          <w:rFonts w:ascii="Arial" w:hAnsi="Arial"/>
          <w:b/>
          <w:i w:val="0"/>
          <w:sz w:val="24"/>
        </w:rPr>
        <w:t>[TRANSCRIPCIÓN DEL APARTADO DE COMPETENCIA DE LA ORDEN DE VISITA]</w:t>
      </w:r>
      <w:r>
        <w:rPr>
          <w:rFonts w:ascii="Arial" w:hAnsi="Arial"/>
          <w:b w:val="0"/>
          <w:i w:val="0"/>
          <w:sz w:val="24"/>
        </w:rPr>
        <w:t>: el párrafo de la orden donde se funda la competencia, transcrito de forma literal.</w:t>
      </w:r>
    </w:p>
    <w:p>
      <w:pPr>
        <w:spacing w:line="360" w:lineRule="auto"/>
        <w:jc w:val="both"/>
      </w:pPr>
      <w:r>
        <w:rPr>
          <w:rFonts w:ascii="Arial" w:hAnsi="Arial"/>
          <w:b/>
          <w:i w:val="0"/>
          <w:sz w:val="24"/>
        </w:rPr>
        <w:t>[MONTO DEL CRÉDITO FISCAL Y CONCEPTOS QUE LO INTEGRAN]</w:t>
      </w:r>
      <w:r>
        <w:rPr>
          <w:rFonts w:ascii="Arial" w:hAnsi="Arial"/>
          <w:b w:val="0"/>
          <w:i w:val="0"/>
          <w:sz w:val="24"/>
        </w:rPr>
        <w:t>: la cantidad total y su desglose (contribución omitida actualizada, recargos y multas).</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te notificaron la resolución que impugnas, base para computar el plazo.</w:t>
      </w:r>
    </w:p>
    <w:p/>
    <w:p>
      <w:pPr>
        <w:spacing w:line="360" w:lineRule="auto"/>
        <w:jc w:val="both"/>
      </w:pPr>
      <w:r>
        <w:rPr>
          <w:rFonts w:ascii="Arial" w:hAnsi="Arial"/>
          <w:b/>
          <w:sz w:val="28"/>
        </w:rPr>
        <w:t>[NÚMERO ORDINAL DEL CONCEPTO] CONCEPTO DE IMPUGNACIÓN. Incompetencia del funcionario que ordenó la visita domiciliaria. La orden con la que inició la fiscalización fue suscrita por un servidor público cuya existencia no está prevista en los ordenamientos que invocó, y el manual de organización no suple esa omisión, de modo que se actualiza la causal de ilegalidad del artículo 51, fracción I, de la Ley Federal de Procedimiento Contencioso Administrativo y procede la nulidad lisa y llana.</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impugnada, contenida en el oficio </w:t>
      </w:r>
      <w:r>
        <w:rPr>
          <w:rFonts w:ascii="Arial" w:hAnsi="Arial"/>
          <w:b/>
          <w:i w:val="0"/>
          <w:sz w:val="28"/>
        </w:rPr>
        <w:t>[OFICIO Y FECHA DE LA RESOLUCIÓN IMPUGNADA]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es ilegal, y que también lo es la resolución recurrida, contenida en el oficio </w:t>
      </w:r>
      <w:r>
        <w:rPr>
          <w:rFonts w:ascii="Arial" w:hAnsi="Arial"/>
          <w:b/>
          <w:i w:val="0"/>
          <w:sz w:val="28"/>
        </w:rPr>
        <w:t>[OFICIO Y FECHA DE LA RESOLUCIÓN RECURRIDA]</w:t>
      </w:r>
      <w:r>
        <w:rPr>
          <w:rFonts w:ascii="Arial" w:hAnsi="Arial"/>
          <w:b w:val="0"/>
          <w:i w:val="0"/>
          <w:sz w:val="28"/>
        </w:rPr>
        <w:t xml:space="preserve">, por la que se determinó a cargo de </w:t>
      </w:r>
      <w:r>
        <w:rPr>
          <w:rFonts w:ascii="Arial" w:hAnsi="Arial"/>
          <w:b/>
          <w:i w:val="0"/>
          <w:sz w:val="28"/>
        </w:rPr>
        <w:t>[NOMBRE DE LA PARTE ACTORA]</w:t>
      </w:r>
      <w:r>
        <w:rPr>
          <w:rFonts w:ascii="Arial" w:hAnsi="Arial"/>
          <w:b w:val="0"/>
          <w:i w:val="0"/>
          <w:sz w:val="28"/>
        </w:rPr>
        <w:t xml:space="preserve"> un crédito fiscal por </w:t>
      </w:r>
      <w:r>
        <w:rPr>
          <w:rFonts w:ascii="Arial" w:hAnsi="Arial"/>
          <w:b/>
          <w:i w:val="0"/>
          <w:sz w:val="28"/>
        </w:rPr>
        <w:t>[MONTO DEL CRÉDITO FISCAL Y CONCEPTOS QUE LO INTEGRAN]</w:t>
      </w:r>
      <w:r>
        <w:rPr>
          <w:rFonts w:ascii="Arial" w:hAnsi="Arial"/>
          <w:b w:val="0"/>
          <w:i w:val="0"/>
          <w:sz w:val="28"/>
        </w:rPr>
        <w:t>.</w:t>
      </w:r>
    </w:p>
    <w:p>
      <w:pPr>
        <w:spacing w:line="360" w:lineRule="auto"/>
        <w:jc w:val="both"/>
      </w:pPr>
      <w:r>
        <w:rPr>
          <w:rFonts w:ascii="Arial" w:hAnsi="Arial"/>
          <w:b w:val="0"/>
          <w:i w:val="0"/>
          <w:sz w:val="28"/>
        </w:rPr>
        <w:t xml:space="preserve">El vicio no está en el fondo de la determinación, sino en su origen. El procedimiento de fiscalización arrancó con la orden de visita domiciliaria contenida en el oficio </w:t>
      </w:r>
      <w:r>
        <w:rPr>
          <w:rFonts w:ascii="Arial" w:hAnsi="Arial"/>
          <w:b/>
          <w:i w:val="0"/>
          <w:sz w:val="28"/>
        </w:rPr>
        <w:t>[OFICIO Y FECHA DE LA ORDEN DE VISITA]</w:t>
      </w:r>
      <w:r>
        <w:rPr>
          <w:rFonts w:ascii="Arial" w:hAnsi="Arial"/>
          <w:b w:val="0"/>
          <w:i w:val="0"/>
          <w:sz w:val="28"/>
        </w:rPr>
        <w:t xml:space="preserve">, suscrita por el </w:t>
      </w:r>
      <w:r>
        <w:rPr>
          <w:rFonts w:ascii="Arial" w:hAnsi="Arial"/>
          <w:b/>
          <w:i w:val="0"/>
          <w:sz w:val="28"/>
        </w:rPr>
        <w:t>[DENOMINACIÓN EXACTA DEL CARGO DE LA AUTORIDAD EMISORA]</w:t>
      </w:r>
      <w:r>
        <w:rPr>
          <w:rFonts w:ascii="Arial" w:hAnsi="Arial"/>
          <w:b w:val="0"/>
          <w:i w:val="0"/>
          <w:sz w:val="28"/>
        </w:rPr>
        <w:t>. Ese cargo no aparece previsto, con esa denominación y con la atribución de ordenar visitas, en ninguno de los preceptos que la propia orden invocó para fundar su competencia.</w:t>
      </w:r>
    </w:p>
    <w:p>
      <w:pPr>
        <w:spacing w:line="360" w:lineRule="auto"/>
        <w:jc w:val="both"/>
      </w:pPr>
      <w:r>
        <w:rPr>
          <w:rFonts w:ascii="Arial" w:hAnsi="Arial"/>
          <w:b w:val="0"/>
          <w:i w:val="0"/>
          <w:sz w:val="28"/>
        </w:rPr>
        <w:t>La demostración descansa en una premisa que no admite matices: la competencia de la autoridad administrativa no se presume ni se deduce, se funda. Para que el mandamiento escrito satisfaga el artículo 16, primer párrafo, de la Constitución Política de los Estados Unidos Mexicanos, hacen falta dos cosas distintas y sucesivas: que la norma cree el órgano que suscribe el acto y que una ley, un reglamento, un decreto o un acuerdo le asigne de manera expresa la atribución que ejerce.</w:t>
      </w:r>
    </w:p>
    <w:p>
      <w:pPr>
        <w:spacing w:line="360" w:lineRule="auto"/>
        <w:jc w:val="both"/>
      </w:pPr>
      <w:r>
        <w:rPr>
          <w:rFonts w:ascii="Arial" w:hAnsi="Arial"/>
          <w:b w:val="0"/>
          <w:i w:val="0"/>
          <w:sz w:val="28"/>
        </w:rPr>
        <w:t>Si la premisa se respeta, la conclusión es forzosa. Al no acreditarse la existencia legal del órgano emisor ni, por tanto, su aptitud para ordenar la visita, se configura la causal de ilegalidad prevista en el artículo 51, fracción I, de la Ley Federal de Procedimiento Contencioso Administrativo, y procede declarar la nulidad lisa y llana de la resolución impugnada y de la recurrida, con fundamento en el artículo 52, fracción II,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contenida en el oficio </w:t>
      </w:r>
      <w:r>
        <w:rPr>
          <w:rFonts w:ascii="Arial" w:hAnsi="Arial"/>
          <w:b/>
          <w:i w:val="0"/>
          <w:sz w:val="28"/>
        </w:rPr>
        <w:t>[OFICIO Y FECHA DE LA RESOLUCIÓN IMPUGNADA]</w:t>
      </w:r>
      <w:r>
        <w:rPr>
          <w:rFonts w:ascii="Arial" w:hAnsi="Arial"/>
          <w:b w:val="0"/>
          <w:i w:val="0"/>
          <w:sz w:val="28"/>
        </w:rPr>
        <w:t xml:space="preserve">, que resolvió el recurso administrativo </w:t>
      </w:r>
      <w:r>
        <w:rPr>
          <w:rFonts w:ascii="Arial" w:hAnsi="Arial"/>
          <w:b/>
          <w:i w:val="0"/>
          <w:sz w:val="28"/>
        </w:rPr>
        <w:t>[NÚMERO Y FECHA DEL RECURSO ADMINISTRATIVO]</w:t>
      </w:r>
      <w:r>
        <w:rPr>
          <w:rFonts w:ascii="Arial" w:hAnsi="Arial"/>
          <w:b w:val="0"/>
          <w:i w:val="0"/>
          <w:sz w:val="28"/>
        </w:rPr>
        <w:t xml:space="preserve"> confirmando la resolución recurrida contenida en el oficio </w:t>
      </w:r>
      <w:r>
        <w:rPr>
          <w:rFonts w:ascii="Arial" w:hAnsi="Arial"/>
          <w:b/>
          <w:i w:val="0"/>
          <w:sz w:val="28"/>
        </w:rPr>
        <w:t>[OFICIO Y FECHA DE LA RESOLUCIÓN RECURRIDA]</w:t>
      </w:r>
      <w:r>
        <w:rPr>
          <w:rFonts w:ascii="Arial" w:hAnsi="Arial"/>
          <w:b w:val="0"/>
          <w:i w:val="0"/>
          <w:sz w:val="28"/>
        </w:rPr>
        <w:t xml:space="preserve">, determinante del crédito fiscal. La notificación de la resolución impugnada se practicó el </w:t>
      </w:r>
      <w:r>
        <w:rPr>
          <w:rFonts w:ascii="Arial" w:hAnsi="Arial"/>
          <w:b/>
          <w:i w:val="0"/>
          <w:sz w:val="28"/>
        </w:rPr>
        <w:t>[FECHA DE NOTIFICACIÓN DE LA RESOLUCIÓN IMPUGNADA]</w:t>
      </w:r>
      <w:r>
        <w:rPr>
          <w:rFonts w:ascii="Arial" w:hAnsi="Arial"/>
          <w:b w:val="0"/>
          <w:i w:val="0"/>
          <w:sz w:val="28"/>
        </w:rPr>
        <w:t>, de manera que esta demanda se presenta en tiempo.</w:t>
      </w:r>
    </w:p>
    <w:p>
      <w:pPr>
        <w:spacing w:line="360" w:lineRule="auto"/>
        <w:jc w:val="both"/>
      </w:pPr>
      <w:r>
        <w:rPr>
          <w:rFonts w:ascii="Arial" w:hAnsi="Arial"/>
          <w:b w:val="0"/>
          <w:i w:val="0"/>
          <w:sz w:val="28"/>
        </w:rPr>
        <w:t>Conforme al artículo 50, antepenúltimo párrafo, de la Ley Federal de Procedimiento Contencioso Administrativo, cuando la resolución impugnada recae a un recurso administrativo se entiende simultáneamente controvertida la resolución recurrida en la parte que continúe afectando a la parte actora. Ese principio de litis abierta permite plantear en esta vía conceptos novedosos o reiterativos dirigidos contra el acto de origen, y es la puerta por la que se somete a juicio la orden de visita domiciliaria.</w:t>
      </w:r>
    </w:p>
    <w:p>
      <w:pPr>
        <w:spacing w:line="360" w:lineRule="auto"/>
        <w:jc w:val="both"/>
      </w:pPr>
      <w:r>
        <w:rPr>
          <w:rFonts w:ascii="Arial" w:hAnsi="Arial"/>
          <w:b w:val="0"/>
          <w:i w:val="0"/>
          <w:sz w:val="28"/>
        </w:rPr>
        <w:t xml:space="preserve">Las normas cuya inobservancia se plantea son el artículo 16, primer párrafo, de la Constitución Política de los Estados Unidos Mexicanos; los artículos 13 y 14 de la Ley de Coordinación Fiscal, que definen el título con el que la entidad federativa actúa como autoridad fiscal federal; las cláusulas del convenio de colaboración administrativa que la propia orden invocó; y el </w:t>
      </w:r>
      <w:r>
        <w:rPr>
          <w:rFonts w:ascii="Arial" w:hAnsi="Arial"/>
          <w:b/>
          <w:i w:val="0"/>
          <w:sz w:val="28"/>
        </w:rPr>
        <w:t>[REGLAMENTO INTERIOR O DECRETO INVOCADO Y SU FECHA DE PUBLICACIÓN]</w:t>
      </w:r>
      <w:r>
        <w:rPr>
          <w:rFonts w:ascii="Arial" w:hAnsi="Arial"/>
          <w:b w:val="0"/>
          <w:i w:val="0"/>
          <w:sz w:val="28"/>
        </w:rPr>
        <w:t>, que es el ordenamiento donde debía constar la creación del órgano emisor.</w:t>
      </w:r>
    </w:p>
    <w:p>
      <w:pPr>
        <w:spacing w:line="360" w:lineRule="auto"/>
        <w:jc w:val="both"/>
      </w:pPr>
      <w:r>
        <w:rPr>
          <w:rFonts w:ascii="Arial" w:hAnsi="Arial"/>
          <w:b w:val="0"/>
          <w:i w:val="0"/>
          <w:sz w:val="28"/>
        </w:rPr>
        <w:t xml:space="preserve">El perjuicio es concreto y cuantificable. Con base en una orden emitida por quien no acreditó estar facultado para ello se desarrolló una visita domiciliaria en el domicilio fiscal de la parte actora, se revisó su contabilidad, se levantaron actas y se determinó un crédito fiscal por </w:t>
      </w:r>
      <w:r>
        <w:rPr>
          <w:rFonts w:ascii="Arial" w:hAnsi="Arial"/>
          <w:b/>
          <w:i w:val="0"/>
          <w:sz w:val="28"/>
        </w:rPr>
        <w:t>[MONTO DEL CRÉDITO FISCAL Y CONCEPTOS QUE LO INTEGRAN]</w:t>
      </w:r>
      <w:r>
        <w:rPr>
          <w:rFonts w:ascii="Arial" w:hAnsi="Arial"/>
          <w:b w:val="0"/>
          <w:i w:val="0"/>
          <w:sz w:val="28"/>
        </w:rPr>
        <w:t>, susceptible de cobro por la vía económico-coactiva. Toda esa afectación patrimonial descansa en un acto de molestia que no satisface el requisito mínimo de provenir de autoridad competente.</w:t>
      </w:r>
    </w:p>
    <w:p>
      <w:pPr>
        <w:spacing w:line="360" w:lineRule="auto"/>
        <w:jc w:val="both"/>
      </w:pPr>
      <w:r>
        <w:rPr>
          <w:rFonts w:ascii="Arial" w:hAnsi="Arial"/>
          <w:b w:val="0"/>
          <w:i w:val="0"/>
          <w:sz w:val="28"/>
        </w:rPr>
        <w:t>De prosperar este concepto, el beneficio es el máximo que el juicio puede otorgar: la nulidad lisa y llana, que no vincula a la autoridad a emitir un nuevo acto y deja sin materia la determinación del crédito. Por ello se solicita su estudio preferente, pues el artículo 50, segundo párrafo, de la Ley Federal de Procedimiento Contencioso Administrativo ordena examinar primero los conceptos que puedan conducir a esa consecuencia.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Conviene partir del texto constitucional. El artículo 16, primer párrafo, de la Constitución Política de los Estados Unidos Mexicanos dispone: </w:t>
      </w:r>
      <w:r>
        <w:rPr>
          <w:rFonts w:ascii="Arial" w:hAnsi="Arial"/>
          <w:b w:val="0"/>
          <w:i/>
          <w:sz w:val="28"/>
        </w:rPr>
        <w:t>“Nadie puede ser molestado en su persona, familia, domicilio, papeles o posesiones, sino en virtud de mandamiento escrito de la autoridad competente, que funde y motive la causa legal del procedimiento”</w:t>
      </w:r>
      <w:r>
        <w:rPr>
          <w:rFonts w:ascii="Arial" w:hAnsi="Arial"/>
          <w:b w:val="0"/>
          <w:i w:val="0"/>
          <w:sz w:val="28"/>
        </w:rPr>
        <w:t>. La exigencia se compone de tres elementos que operan de manera acumulativa: el mandamiento escrito, la competencia de quien lo emite y la expresión de los fundamentos y motivos.</w:t>
      </w:r>
    </w:p>
    <w:p>
      <w:pPr>
        <w:spacing w:line="360" w:lineRule="auto"/>
        <w:jc w:val="both"/>
      </w:pPr>
      <w:r>
        <w:rPr>
          <w:rFonts w:ascii="Arial" w:hAnsi="Arial"/>
          <w:b w:val="0"/>
          <w:i w:val="0"/>
          <w:sz w:val="28"/>
        </w:rPr>
        <w:t>La doctrina que sistematiza ese precepto lo describe como una garantía de seguridad jurídica amplia y suficiente, porque regula con precisión los requisitos que debe reunir el mandamiento escrito mediante el cual puede afectarse o molestarse a la persona: que provenga de autoridad competente, esto es, de un órgano facultado por la ley, y que el escrito tenga fundamento en una norma jurídica general de derecho positivo conforme a la cual pueda darse origen a ese mandamiento.</w:t>
      </w:r>
      <w:r>
        <w:rPr>
          <w:rFonts w:ascii="Arial" w:hAnsi="Arial"/>
          <w:vertAlign w:val="superscript"/>
        </w:rPr>
        <w:t>1</w:t>
      </w:r>
    </w:p>
    <w:p>
      <w:pPr>
        <w:spacing w:line="360" w:lineRule="auto"/>
        <w:jc w:val="both"/>
      </w:pPr>
      <w:r>
        <w:rPr>
          <w:rFonts w:ascii="Arial" w:hAnsi="Arial"/>
          <w:b w:val="0"/>
          <w:i w:val="0"/>
          <w:sz w:val="28"/>
        </w:rPr>
        <w:t>Esa precisión no es un rasgo accesorio: es lo que permite al particular verificar, leyendo el propio documento, si quien lo molesta puede hacerlo. Un mandamiento del que no se desprende con claridad quién lo firma y con qué apoyo normativo deja de ser garantía y se vuelve un acto de fuerza revestido de forma escrita.</w:t>
      </w:r>
    </w:p>
    <w:p>
      <w:pPr>
        <w:spacing w:line="360" w:lineRule="auto"/>
        <w:jc w:val="both"/>
      </w:pPr>
      <w:r>
        <w:rPr>
          <w:rFonts w:ascii="Arial" w:hAnsi="Arial"/>
          <w:b w:val="0"/>
          <w:i w:val="0"/>
          <w:sz w:val="28"/>
        </w:rPr>
        <w:t>La misma idea se expresa desde la técnica de la argumentación jurídica: al exigir mandamiento escrito de autoridad competente que funde y motive la causa legal del procedimiento, el artículo 16 constitucional obliga a todas las autoridades a apegar sus actos a la ley, expresando de qué ley se trata y los preceptos de ella que sirven de apoyo al mandamiento relativo.</w:t>
      </w:r>
      <w:r>
        <w:rPr>
          <w:rFonts w:ascii="Arial" w:hAnsi="Arial"/>
          <w:vertAlign w:val="superscript"/>
        </w:rPr>
        <w:t>2</w:t>
      </w:r>
      <w:r>
        <w:rPr>
          <w:rFonts w:ascii="Arial" w:hAnsi="Arial"/>
          <w:b w:val="0"/>
          <w:i w:val="0"/>
          <w:sz w:val="28"/>
        </w:rPr>
        <w:t xml:space="preserve"> No basta, por tanto, la invocación global de un ordenamiento: se exige la cita del precepto que confiere la atribución concreta que se ejerce.</w:t>
      </w:r>
    </w:p>
    <w:p>
      <w:pPr>
        <w:spacing w:line="360" w:lineRule="auto"/>
        <w:jc w:val="both"/>
      </w:pPr>
      <w:r>
        <w:rPr>
          <w:rFonts w:ascii="Arial" w:hAnsi="Arial"/>
          <w:b w:val="0"/>
          <w:i w:val="0"/>
          <w:sz w:val="28"/>
        </w:rPr>
        <w:t>Ese deber se conecta con la función que el principio de legalidad cumple en el Estado constitucional. La doctrina explica que legalidad y seguridad jurídica configuran el lenguaje de la certeza y la previsibilidad, y advierte que se genera indefensión cuando el administrado no logra identificar qué norma resulta aplicable a su caso, mientras la administración aplica las que le son más favorables.</w:t>
      </w:r>
      <w:r>
        <w:rPr>
          <w:rFonts w:ascii="Arial" w:hAnsi="Arial"/>
          <w:vertAlign w:val="superscript"/>
        </w:rPr>
        <w:t>3</w:t>
      </w:r>
      <w:r>
        <w:rPr>
          <w:rFonts w:ascii="Arial" w:hAnsi="Arial"/>
          <w:b w:val="0"/>
          <w:i w:val="0"/>
          <w:sz w:val="28"/>
        </w:rPr>
        <w:t xml:space="preserve"> Trasladado a la fundamentación de la competencia, el riesgo es evidente: si el gobernado debe adivinar de qué norma nace la atribución, la carga de averiguar se invierte y la garantía se vacía.</w:t>
      </w:r>
    </w:p>
    <w:p>
      <w:pPr>
        <w:spacing w:line="360" w:lineRule="auto"/>
        <w:jc w:val="both"/>
      </w:pPr>
      <w:r>
        <w:rPr>
          <w:rFonts w:ascii="Arial" w:hAnsi="Arial"/>
          <w:b w:val="0"/>
          <w:i w:val="0"/>
          <w:sz w:val="28"/>
        </w:rPr>
        <w:t>De ahí se sigue una distinción que este concepto considera decisiva. La fundamentación de la competencia exige dos cosas que no deben confundirse. La primera es la existencia legal del órgano: que una ley, un reglamento, un decreto o un acuerdo publicado lo cree y lo denomine, porque un órgano que la norma no ha creado no puede tener atribuciones. La segunda es la asignación expresa de la facultad ejercida a ese órgano, con indicación del apartado, fracción, inciso o subinciso correspondiente.</w:t>
      </w:r>
    </w:p>
    <w:p>
      <w:pPr>
        <w:spacing w:line="360" w:lineRule="auto"/>
        <w:jc w:val="both"/>
      </w:pPr>
      <w:r>
        <w:rPr>
          <w:rFonts w:ascii="Arial" w:hAnsi="Arial"/>
          <w:b w:val="0"/>
          <w:i w:val="0"/>
          <w:sz w:val="28"/>
        </w:rPr>
        <w:t>Sin la primera, la segunda es imposible. Las atribuciones se asignan a órganos existentes; si la denominación que aparece en la firma del acto no corresponde a ninguna unidad administrativa prevista en el ordenamiento invocado, no hay a quién atribuirle nada, y la cita de preceptos que facultan a un órgano distinto —normalmente al superior jerárquico— no cubre la omisión.</w:t>
      </w:r>
    </w:p>
    <w:p>
      <w:pPr>
        <w:spacing w:line="360" w:lineRule="auto"/>
        <w:jc w:val="both"/>
      </w:pPr>
      <w:r>
        <w:rPr>
          <w:rFonts w:ascii="Arial" w:hAnsi="Arial"/>
          <w:b w:val="0"/>
          <w:i w:val="0"/>
          <w:sz w:val="28"/>
        </w:rPr>
        <w:t>Es el mismo razonamiento que una Sala Regional del Tribunal ha seguido al examinar una orden de visita suscrita por el titular de un departamento no previsto en el reglamento interior, criterio que aquí se invoca como orientador, pues la sentencia de una Sala no constituye jurisprudencia ni obliga a la que resuelva este juicio.</w:t>
      </w:r>
    </w:p>
    <w:p>
      <w:pPr>
        <w:spacing w:line="360" w:lineRule="auto"/>
        <w:jc w:val="both"/>
      </w:pPr>
      <w:r>
        <w:rPr>
          <w:rFonts w:ascii="Arial" w:hAnsi="Arial"/>
          <w:b w:val="0"/>
          <w:i w:val="0"/>
          <w:sz w:val="28"/>
        </w:rPr>
        <w:t>Esa carga no puede satisfacerse con un manual de organización ni con un organigrama. Los manuales son instrumentos que regulan el funcionamiento y la estructura interna de las dependencias, y su propia existencia debe encontrarse establecida en la ley o el reglamento correspondientes; no son la fuente de la que nace un órgano frente al particular, sino un desarrollo interno de lo que la norma superior ya estableció. Invocarlos para demostrar la existencia del órgano es invertir el orden de las fuentes.</w:t>
      </w:r>
    </w:p>
    <w:p>
      <w:pPr>
        <w:spacing w:line="360" w:lineRule="auto"/>
        <w:jc w:val="both"/>
      </w:pPr>
      <w:r>
        <w:rPr>
          <w:rFonts w:ascii="Arial" w:hAnsi="Arial"/>
          <w:b w:val="0"/>
          <w:i w:val="0"/>
          <w:sz w:val="28"/>
        </w:rPr>
        <w:t>El punto se refuerza cuando la facultad no es originaria de la entidad, sino recibida por convenio. Los artículos 13 y 14 de la Ley de Coordinación Fiscal autorizan al Gobierno Federal, por conducto de la Secretaría de Hacienda y Crédito Público, a celebrar con las entidades adheridas al Sistema Nacional de Coordinación Fiscal convenios de coordinación en materia de administración de ingresos federales —que comprenden la fiscalización— y disponen que las autoridades fiscales de la entidad serán consideradas, al ejercer esas facultades, autoridades fiscales federales, con las limitaciones que el convenio precise.</w:t>
      </w:r>
    </w:p>
    <w:p>
      <w:pPr>
        <w:spacing w:line="360" w:lineRule="auto"/>
        <w:jc w:val="both"/>
      </w:pPr>
      <w:r>
        <w:rPr>
          <w:rFonts w:ascii="Arial" w:hAnsi="Arial"/>
          <w:b w:val="0"/>
          <w:i w:val="0"/>
          <w:sz w:val="28"/>
        </w:rPr>
        <w:t>El propio convenio suele condicionar el ejercicio de las facultades delegadas a que la autoridad esté habilitada por el derecho local: la cláusula que distribuye su ejercicio remite al gobernador de la entidad o a las demás autoridades fiscales que, conforme a las disposiciones jurídicas locales, estén facultadas para administrar, comprobar, determinar y cobrar ingresos federales. La consecuencia es clara: si el derecho local no crea al órgano ni lo faculta, el convenio no lo habilita, porque el convenio remite al derecho local y no lo sustituye.</w:t>
      </w:r>
    </w:p>
    <w:p>
      <w:pPr>
        <w:spacing w:line="360" w:lineRule="auto"/>
        <w:jc w:val="both"/>
      </w:pPr>
      <w:r>
        <w:rPr>
          <w:rFonts w:ascii="Arial" w:hAnsi="Arial"/>
          <w:b w:val="0"/>
          <w:i w:val="0"/>
          <w:sz w:val="28"/>
        </w:rPr>
        <w:t>Finalmente, la Ley Federal de Procedimiento Contencioso Administrativo cierra el sistema. Su artículo 51, fracción I, declara ilegal la resolución administrativa cuando se demuestre la incompetencia del funcionario que la haya dictado u ordenado, o que haya tramitado el procedimiento del que deriva; el mismo artículo faculta al Tribunal a hacer valer esa incompetencia de oficio, por ser de orden público; y el artículo 52, fracción II, autoriza a declarar la nulidad de la resolución impugnada. La orden de visita es, precisamente, el acto que ordenó el procedimiento.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en la premisa expuesta sin necesidad de forzar nada. La orden de visita domiciliaria contenida en el oficio </w:t>
      </w:r>
      <w:r>
        <w:rPr>
          <w:rFonts w:ascii="Arial" w:hAnsi="Arial"/>
          <w:b/>
          <w:i w:val="0"/>
          <w:sz w:val="28"/>
        </w:rPr>
        <w:t>[OFICIO Y FECHA DE LA ORDEN DE VISITA]</w:t>
      </w:r>
      <w:r>
        <w:rPr>
          <w:rFonts w:ascii="Arial" w:hAnsi="Arial"/>
          <w:b w:val="0"/>
          <w:i w:val="0"/>
          <w:sz w:val="28"/>
        </w:rPr>
        <w:t xml:space="preserve"> fue suscrita por el </w:t>
      </w:r>
      <w:r>
        <w:rPr>
          <w:rFonts w:ascii="Arial" w:hAnsi="Arial"/>
          <w:b/>
          <w:i w:val="0"/>
          <w:sz w:val="28"/>
        </w:rPr>
        <w:t>[DENOMINACIÓN EXACTA DEL CARGO DE LA AUTORIDAD EMISORA]</w:t>
      </w:r>
      <w:r>
        <w:rPr>
          <w:rFonts w:ascii="Arial" w:hAnsi="Arial"/>
          <w:b w:val="0"/>
          <w:i w:val="0"/>
          <w:sz w:val="28"/>
        </w:rPr>
        <w:t xml:space="preserve"> y fundó su competencia en </w:t>
      </w:r>
      <w:r>
        <w:rPr>
          <w:rFonts w:ascii="Arial" w:hAnsi="Arial"/>
          <w:b/>
          <w:i w:val="0"/>
          <w:sz w:val="28"/>
        </w:rPr>
        <w:t>[PRECEPTOS DE COMPETENCIA CITADOS EN LA ORDEN]</w:t>
      </w:r>
      <w:r>
        <w:rPr>
          <w:rFonts w:ascii="Arial" w:hAnsi="Arial"/>
          <w:b w:val="0"/>
          <w:i w:val="0"/>
          <w:sz w:val="28"/>
        </w:rPr>
        <w:t xml:space="preserve">. El apartado correspondiente dice textualmente: </w:t>
      </w:r>
      <w:r>
        <w:rPr>
          <w:rFonts w:ascii="Arial" w:hAnsi="Arial"/>
          <w:b/>
          <w:i w:val="0"/>
          <w:sz w:val="28"/>
        </w:rPr>
        <w:t>[TRANSCRIPCIÓN DEL APARTADO DE COMPETENCIA DE LA ORDEN DE VISITA]</w:t>
      </w:r>
      <w:r>
        <w:rPr>
          <w:rFonts w:ascii="Arial" w:hAnsi="Arial"/>
          <w:b w:val="0"/>
          <w:i w:val="0"/>
          <w:sz w:val="28"/>
        </w:rPr>
        <w:t>.</w:t>
      </w:r>
    </w:p>
    <w:p>
      <w:pPr>
        <w:spacing w:line="360" w:lineRule="auto"/>
        <w:jc w:val="both"/>
      </w:pPr>
      <w:r>
        <w:rPr>
          <w:rFonts w:ascii="Arial" w:hAnsi="Arial"/>
          <w:b w:val="0"/>
          <w:i w:val="0"/>
          <w:sz w:val="28"/>
        </w:rPr>
        <w:t xml:space="preserve">El contraste con el </w:t>
      </w:r>
      <w:r>
        <w:rPr>
          <w:rFonts w:ascii="Arial" w:hAnsi="Arial"/>
          <w:b/>
          <w:i w:val="0"/>
          <w:sz w:val="28"/>
        </w:rPr>
        <w:t>[REGLAMENTO INTERIOR O DECRETO INVOCADO Y SU FECHA DE PUBLICACIÓN]</w:t>
      </w:r>
      <w:r>
        <w:rPr>
          <w:rFonts w:ascii="Arial" w:hAnsi="Arial"/>
          <w:b w:val="0"/>
          <w:i w:val="0"/>
          <w:sz w:val="28"/>
        </w:rPr>
        <w:t xml:space="preserve"> arroja el resultado decisivo. Ese ordenamiento adscribe y denomina las unidades administrativas de la dependencia y enumera las facultades de cada titular, pero en ninguno de sus preceptos aparece creado, con esa denominación, el órgano que suscribió la orden. Las facultades de ordenar y practicar visitas domiciliarias están conferidas al titular de la dirección de área, no a la unidad que firmó el acto de molestia.</w:t>
      </w:r>
    </w:p>
    <w:p>
      <w:pPr>
        <w:spacing w:line="360" w:lineRule="auto"/>
        <w:jc w:val="both"/>
      </w:pPr>
      <w:r>
        <w:rPr>
          <w:rFonts w:ascii="Arial" w:hAnsi="Arial"/>
          <w:b w:val="0"/>
          <w:i w:val="0"/>
          <w:sz w:val="28"/>
        </w:rPr>
        <w:t>La subsunción es directa. La norma exige que el acto de molestia provenga de autoridad competente y que la competencia se funde con precisión; el ordenamiento invocado no crea al órgano emisor ni le asigna la atribución ejercida; luego la orden de visita no satisface el artículo 16, primer párrafo, constitucional y se actualiza la causal del artículo 51, fracción I, de la Ley Federal de Procedimiento Contencioso Administrativo. No se trata de una cita incompleta ni de un error de transcripción: falta el eslabón inicial de la cadena.</w:t>
      </w:r>
    </w:p>
    <w:p>
      <w:pPr>
        <w:spacing w:line="360" w:lineRule="auto"/>
        <w:jc w:val="both"/>
      </w:pPr>
      <w:r>
        <w:rPr>
          <w:rFonts w:ascii="Arial" w:hAnsi="Arial"/>
          <w:b w:val="0"/>
          <w:i w:val="0"/>
          <w:sz w:val="28"/>
        </w:rPr>
        <w:t>Frente a ello, la autoridad sostiene en la resolución impugnada que la competencia quedó satisfecha porque el órgano emisor aparece en el manual de organización y en el organigrama de la dependencia, y porque actúa como auxiliar del director de área. Ese razonamiento es lógicamente inválido, y conviene nombrar el error con su nombre propio.</w:t>
      </w:r>
    </w:p>
    <w:p>
      <w:pPr>
        <w:spacing w:line="360" w:lineRule="auto"/>
        <w:jc w:val="both"/>
      </w:pPr>
      <w:r>
        <w:rPr>
          <w:rFonts w:ascii="Arial" w:hAnsi="Arial"/>
          <w:b w:val="0"/>
          <w:i w:val="0"/>
          <w:sz w:val="28"/>
        </w:rPr>
        <w:t>En primer lugar, incurre en petición de principio. La falacia consiste en postular o tomar lo del principio, esto es, en pretender demostrar por sí mismo aquello que no está claro ni es conocido por sí mismo, lo que equivale a no demostrar.</w:t>
      </w:r>
      <w:r>
        <w:rPr>
          <w:rFonts w:ascii="Arial" w:hAnsi="Arial"/>
          <w:vertAlign w:val="superscript"/>
        </w:rPr>
        <w:t>4</w:t>
      </w:r>
      <w:r>
        <w:rPr>
          <w:rFonts w:ascii="Arial" w:hAnsi="Arial"/>
          <w:b w:val="0"/>
          <w:i w:val="0"/>
          <w:sz w:val="28"/>
        </w:rPr>
        <w:t xml:space="preserve"> Lo que está en discusión es si el órgano existe jurídicamente; y la autoridad responde exhibiendo un documento cuya validez presupone, precisamente, que el órgano ya fue creado por la norma superior. La premisa dice lo mismo que la conclusión y el argumento gira en círculo.</w:t>
      </w:r>
    </w:p>
    <w:p>
      <w:pPr>
        <w:spacing w:line="360" w:lineRule="auto"/>
        <w:jc w:val="both"/>
      </w:pPr>
      <w:r>
        <w:rPr>
          <w:rFonts w:ascii="Arial" w:hAnsi="Arial"/>
          <w:b w:val="0"/>
          <w:i w:val="0"/>
          <w:sz w:val="28"/>
        </w:rPr>
        <w:t>Ese círculo tiene además una consecuencia institucional grave. Si un instrumento expedido por la propia administración bastara para acreditar la existencia del órgano que ella misma quiere hacer competente, la administración crearía sus propias competencias por vía interna, sin ley ni reglamento, y la reserva que el artículo 16 constitucional impone quedaría a disposición de quien debe someterse a ella. La prueba de la competencia tiene que ser más firme que lo que se pretende probar, no un reflejo de la afirmación que se discute.</w:t>
      </w:r>
    </w:p>
    <w:p>
      <w:pPr>
        <w:spacing w:line="360" w:lineRule="auto"/>
        <w:jc w:val="both"/>
      </w:pPr>
      <w:r>
        <w:rPr>
          <w:rFonts w:ascii="Arial" w:hAnsi="Arial"/>
          <w:b w:val="0"/>
          <w:i w:val="0"/>
          <w:sz w:val="28"/>
        </w:rPr>
        <w:t>En segundo lugar, el argumento del auxilio incurre en non sequitur, denominación genérica de los razonamientos en que la conclusión no se sigue de las premisas.</w:t>
      </w:r>
      <w:r>
        <w:rPr>
          <w:rFonts w:ascii="Arial" w:hAnsi="Arial"/>
          <w:vertAlign w:val="superscript"/>
        </w:rPr>
        <w:t>5</w:t>
      </w:r>
      <w:r>
        <w:rPr>
          <w:rFonts w:ascii="Arial" w:hAnsi="Arial"/>
          <w:b w:val="0"/>
          <w:i w:val="0"/>
          <w:sz w:val="28"/>
        </w:rPr>
        <w:t xml:space="preserve"> De que el titular de la dirección pueda ordenar visitas domiciliarias y de que, en el ejercicio de sus facultades, se auxilie de jefes de departamento, auditores, inspectores y notificadores, no se sigue que cualquiera de esos auxiliares pueda ordenar la visita por sí mismo. El auxilio es colaboración material en la ejecución; la orden es un acto de decisión.</w:t>
      </w:r>
    </w:p>
    <w:p>
      <w:pPr>
        <w:spacing w:line="360" w:lineRule="auto"/>
        <w:jc w:val="both"/>
      </w:pPr>
      <w:r>
        <w:rPr>
          <w:rFonts w:ascii="Arial" w:hAnsi="Arial"/>
          <w:b w:val="0"/>
          <w:i w:val="0"/>
          <w:sz w:val="28"/>
        </w:rPr>
        <w:t>La doctrina especializada en argumentación advierte que el non sequitur se presenta cuando la conclusión no es una inferencia razonable de lo que fue probado o razonado.</w:t>
      </w:r>
      <w:r>
        <w:rPr>
          <w:rFonts w:ascii="Arial" w:hAnsi="Arial"/>
          <w:vertAlign w:val="superscript"/>
        </w:rPr>
        <w:t>6</w:t>
      </w:r>
      <w:r>
        <w:rPr>
          <w:rFonts w:ascii="Arial" w:hAnsi="Arial"/>
          <w:b w:val="0"/>
          <w:i w:val="0"/>
          <w:sz w:val="28"/>
        </w:rPr>
        <w:t xml:space="preserve"> Aquí lo probado es que existe una dirección de área con facultades de fiscalización y que dispone de personal de apoyo; lo concluido es que un integrante de ese personal puede emitir el mandamiento que abre la intromisión en el domicilio fiscal. Entre una cosa y la otra falta el único eslabón que importaba: la norma que cree al órgano y le confiera la atribución.</w:t>
      </w:r>
    </w:p>
    <w:p>
      <w:pPr>
        <w:spacing w:line="360" w:lineRule="auto"/>
        <w:jc w:val="both"/>
      </w:pPr>
      <w:r>
        <w:rPr>
          <w:rFonts w:ascii="Arial" w:hAnsi="Arial"/>
          <w:b w:val="0"/>
          <w:i w:val="0"/>
          <w:sz w:val="28"/>
        </w:rPr>
        <w:t>Tampoco alcanza el argumento de que la existencia del órgano es evidente, notoria o comprensible con el buen entendimiento, porque la obligación de fundar no constituiría un dogma. Ese razonamiento, admisible cuando se discute la constatación de un hecho obvio, no puede extenderse al presupuesto mismo de la actuación: la existencia jurídica de la autoridad no es un dato que se aprecie con la experiencia, sino un enunciado normativo que consta o no consta en un ordenamiento publicado. Lo que no está en la norma no se suple con la sana crítica.</w:t>
      </w:r>
    </w:p>
    <w:p>
      <w:pPr>
        <w:spacing w:line="360" w:lineRule="auto"/>
        <w:jc w:val="both"/>
      </w:pPr>
      <w:r>
        <w:rPr>
          <w:rFonts w:ascii="Arial" w:hAnsi="Arial"/>
          <w:b w:val="0"/>
          <w:i w:val="0"/>
          <w:sz w:val="28"/>
        </w:rPr>
        <w:t>Por último, el vicio contamina todo lo que se construyó sobre la orden. Si el acto que abrió el procedimiento de fiscalización carece de sustento, las actuaciones que lo desarrollaron —el desahogo de la visita, las actas parciales, la última acta parcial y el acta final— no pueden sostener por sí mismas la determinación del crédito, pues su validez estaba condicionada a la legalidad de la orden que les dio origen. Convalidarlas equivaldría a reconocer eficacia jurídica a la consecuencia de un acto que nunca debió producirse.</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artículo 16, primer párrafo, de la Constitución Política de los Estados Unidos Mexicanos exige que el acto de molestia provenga de autoridad competente, lo que supone que la norma haya creado el órgano y le haya asignado la atribución ejercida; la orden de visita domiciliaria contenida en el oficio </w:t>
      </w:r>
      <w:r>
        <w:rPr>
          <w:rFonts w:ascii="Arial" w:hAnsi="Arial"/>
          <w:b/>
          <w:i w:val="0"/>
          <w:sz w:val="28"/>
        </w:rPr>
        <w:t>[OFICIO Y FECHA DE LA ORDEN DE VISITA]</w:t>
      </w:r>
      <w:r>
        <w:rPr>
          <w:rFonts w:ascii="Arial" w:hAnsi="Arial"/>
          <w:b w:val="0"/>
          <w:i w:val="0"/>
          <w:sz w:val="28"/>
        </w:rPr>
        <w:t xml:space="preserve"> fue suscrita por un servidor público que no aparece creado en el ordenamiento invocado; y el manual de organización no puede fundar lo que la norma superior no estableció.</w:t>
      </w:r>
    </w:p>
    <w:p>
      <w:pPr>
        <w:spacing w:line="360" w:lineRule="auto"/>
        <w:jc w:val="both"/>
      </w:pPr>
      <w:r>
        <w:rPr>
          <w:rFonts w:ascii="Arial" w:hAnsi="Arial"/>
          <w:b w:val="0"/>
          <w:i w:val="0"/>
          <w:sz w:val="28"/>
        </w:rPr>
        <w:t>Por consiguiente, se actualiza la causal de ilegalidad prevista en el artículo 51, fracción I, de la Ley Federal de Procedimiento Contencioso Administrativo, respecto del funcionario que ordenó el procedimiento del que derivó la resolución recurrida; y, por la litis abierta que reconoce el artículo 50, antepenúltimo párrafo, del mismo ordenamiento, esa ilegalidad debe declararse tanto de la resolución impugnada como de la recurrida, conforme al artículo 52, fracción II, de la ley citada.</w:t>
      </w:r>
    </w:p>
    <w:p>
      <w:pPr>
        <w:spacing w:line="360" w:lineRule="auto"/>
        <w:jc w:val="both"/>
      </w:pPr>
      <w:r>
        <w:rPr>
          <w:rFonts w:ascii="Arial" w:hAnsi="Arial"/>
          <w:b w:val="0"/>
          <w:i w:val="0"/>
          <w:sz w:val="28"/>
        </w:rPr>
        <w:t>La nulidad que se solicita es lisa y llana, no para efectos. Cuando el vicio consiste en que no se acredita la existencia legal ni la competencia de la autoridad que ordenó la fiscalización, vincular a esa autoridad a reponer el procedimiento significaría ordenar a un órgano cuya aptitud no consta que vuelva a molestar a la parte actora, con el único resultado de obligarla a defenderse de nuevo. A ello no se opone que la resolución impugnada haya recaído a un recurso administrativo: el vicio no está en la resolución que lo decidió, sino en el acto que abrió el procedimiento.</w:t>
      </w:r>
    </w:p>
    <w:p>
      <w:pPr>
        <w:spacing w:line="360" w:lineRule="auto"/>
        <w:jc w:val="both"/>
      </w:pPr>
      <w:r>
        <w:rPr>
          <w:rFonts w:ascii="Arial" w:hAnsi="Arial"/>
          <w:b w:val="0"/>
          <w:i w:val="0"/>
          <w:sz w:val="28"/>
        </w:rPr>
        <w:t xml:space="preserve">Por lo expuesto, se solicita a esa </w:t>
      </w:r>
      <w:r>
        <w:rPr>
          <w:rFonts w:ascii="Arial" w:hAnsi="Arial"/>
          <w:b/>
          <w:i w:val="0"/>
          <w:sz w:val="28"/>
        </w:rPr>
        <w:t>[SALA REGIONAL COMPETENTE]</w:t>
      </w:r>
      <w:r>
        <w:rPr>
          <w:rFonts w:ascii="Arial" w:hAnsi="Arial"/>
          <w:b w:val="0"/>
          <w:i w:val="0"/>
          <w:sz w:val="28"/>
        </w:rPr>
        <w:t xml:space="preserve"> declarar fundado el presente concepto de impugnación y, en consecuencia, la nulidad lisa y llana de la resolución impugnada y de la recurrida determinante del crédito fiscal, con fundamento en los artículos 50, 51, fracción I, y 52, fracción II, de la Ley Federal de Procedimiento Contencioso Administrativo, dejando sin efecto el crédito por </w:t>
      </w:r>
      <w:r>
        <w:rPr>
          <w:rFonts w:ascii="Arial" w:hAnsi="Arial"/>
          <w:b/>
          <w:i w:val="0"/>
          <w:sz w:val="28"/>
        </w:rPr>
        <w:t>[MONTO DEL CRÉDITO FISCAL Y CONCEPTOS QUE LO INTEGRAN]</w:t>
      </w:r>
      <w:r>
        <w:rPr>
          <w:rFonts w:ascii="Arial" w:hAnsi="Arial"/>
          <w:b w:val="0"/>
          <w:i w:val="0"/>
          <w:sz w:val="28"/>
        </w:rPr>
        <w:t>.</w:t>
      </w:r>
    </w:p>
    <w:p>
      <w:pPr>
        <w:spacing w:line="360" w:lineRule="auto"/>
        <w:jc w:val="both"/>
      </w:pPr>
      <w:r>
        <w:rPr>
          <w:rFonts w:ascii="Arial" w:hAnsi="Arial"/>
          <w:b w:val="0"/>
          <w:i w:val="0"/>
          <w:sz w:val="28"/>
        </w:rPr>
        <w:t>Se pide, además, el estudio preferente de este concepto sobre los restantes, porque su acogimiento otorga a la parte actora el mayor beneficio jurídico posible y hace innecesario el examen de los argumentos de fondo, cuyo resultado no mejoraría lo alcanzado con la nulidad lisa y llana.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656.</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390.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CUSI ALANOCA, José Luis, </w:t>
      </w:r>
      <w:r>
        <w:rPr>
          <w:rFonts w:ascii="Arial" w:hAnsi="Arial"/>
          <w:i/>
          <w:sz w:val="20"/>
        </w:rPr>
        <w:t>Sana crítica, la garantía del debido proceso constitucional y seguridad jurídica. Una aproximación al lenguaje del sistema de protección de los derechos fundamentales</w:t>
      </w:r>
      <w:r>
        <w:rPr>
          <w:rFonts w:ascii="Arial" w:hAnsi="Arial"/>
          <w:i w:val="0"/>
          <w:sz w:val="20"/>
        </w:rPr>
        <w:t>, Corporación de Estudios y Publicaciones (CEP), Quito, 2022, p. 263.</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35.</w:t>
      </w:r>
    </w:p>
    <w:p/>
    <w:p>
      <w:r>
        <w:rPr>
          <w:rFonts w:ascii="Arial" w:hAnsi="Arial"/>
          <w:b/>
          <w:sz w:val="22"/>
        </w:rPr>
        <w:t>BIBLIOGRAFÍA</w:t>
      </w:r>
    </w:p>
    <w:p>
      <w:pPr>
        <w:spacing w:after="60"/>
        <w:ind w:left="360" w:hanging="360"/>
        <w:jc w:val="both"/>
      </w:pPr>
      <w:r>
        <w:rPr>
          <w:rFonts w:ascii="Arial" w:hAnsi="Arial"/>
          <w:i w:val="0"/>
          <w:sz w:val="20"/>
        </w:rPr>
        <w:t xml:space="preserve">CUSI ALANOCA, José Luis, </w:t>
      </w:r>
      <w:r>
        <w:rPr>
          <w:rFonts w:ascii="Arial" w:hAnsi="Arial"/>
          <w:i/>
          <w:sz w:val="20"/>
        </w:rPr>
        <w:t>Sana crítica, la garantía del debido proceso constitucional y seguridad jurídica. Una aproximación al lenguaje del sistema de protección de los derechos fundamentales</w:t>
      </w:r>
      <w:r>
        <w:rPr>
          <w:rFonts w:ascii="Arial" w:hAnsi="Arial"/>
          <w:i w:val="0"/>
          <w:sz w:val="20"/>
        </w:rPr>
        <w:t>, Corporación de Estudios y Publicaciones (CEP), Quito, 2022.</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