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DEVOLUCIÓN DE IVA POR USO DE AERONAVE SIN AVISO 72/ISR</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Antes de llenar nada, revisa la resolución que negó la devolución y confirma que el único obstáculo fue el aviso de la ficha de trámite 72/ISR o la supuesta falta de concesión o permiso; si la autoridad objetó además la materialidad de la operación o el comprobante fiscal, necesitarás conceptos adicionales.</w:t>
      </w:r>
    </w:p>
    <w:p>
      <w:pPr>
        <w:spacing w:line="360" w:lineRule="auto"/>
        <w:jc w:val="both"/>
      </w:pPr>
      <w:r>
        <w:rPr>
          <w:rFonts w:ascii="Arial" w:hAnsi="Arial"/>
          <w:b w:val="0"/>
          <w:i w:val="0"/>
          <w:sz w:val="24"/>
        </w:rPr>
        <w:t>Reúne el contrato con el proveedor, el comprobante fiscal y el permiso o concesión que lo autoriza a explotar comercialmente la aeronave, y verifica que la operación sea un servicio o un uso temporal y no la adquisición de un avión. Después llena los campos editables, coteja el texto de la regla miscelánea del ejercicio de tu caso y elimina el párrafo de litis abierta si no interpusiste recurso de revocación.</w:t>
      </w:r>
    </w:p>
    <w:p>
      <w:pPr>
        <w:spacing w:line="360" w:lineRule="auto"/>
        <w:jc w:val="both"/>
      </w:pPr>
      <w:r>
        <w:rPr>
          <w:rFonts w:ascii="Arial" w:hAnsi="Arial"/>
          <w:b w:val="0"/>
          <w:i w:val="0"/>
          <w:sz w:val="24"/>
        </w:rPr>
        <w:t>Define la vía antes de presentar: desde la reforma de junio de 2026, la fracción VI del artículo 58-2 de la Ley Federal de Procedimiento Contencioso Administrativo lleva a la vía sumaria las respuestas a solicitudes de devolución de saldos a favor o de pagos de lo indebido, siempre que su importe no exceda de treinta veces la Unidad de Medida y Actualización elevada al año, así que revisa si tu asunto encuadra ahí. En la vía ordinaria la demanda se presenta dentro de los treinta días que fija el artículo 13, fracción I, de esa ley, y en la sumaria también en treinta días, conforme al párrafo tercero de su artículo 58-2.</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 SEGUNDO…).</w:t>
      </w:r>
    </w:p>
    <w:p>
      <w:pPr>
        <w:spacing w:line="360" w:lineRule="auto"/>
        <w:jc w:val="both"/>
      </w:pPr>
      <w:r>
        <w:rPr>
          <w:rFonts w:ascii="Arial" w:hAnsi="Arial"/>
          <w:b/>
          <w:i w:val="0"/>
          <w:sz w:val="24"/>
        </w:rPr>
        <w:t>[NÚMERO DE OFICIO DE LA RESOLUCIÓN IMPUGNADA]</w:t>
      </w:r>
      <w:r>
        <w:rPr>
          <w:rFonts w:ascii="Arial" w:hAnsi="Arial"/>
          <w:b w:val="0"/>
          <w:i w:val="0"/>
          <w:sz w:val="24"/>
        </w:rPr>
        <w:t>: el número del oficio que resolvió el recurso de revocación o, si no lo interpusiste, el de la resolución que negó la devolución.</w:t>
      </w:r>
    </w:p>
    <w:p>
      <w:pPr>
        <w:spacing w:line="360" w:lineRule="auto"/>
        <w:jc w:val="both"/>
      </w:pPr>
      <w:r>
        <w:rPr>
          <w:rFonts w:ascii="Arial" w:hAnsi="Arial"/>
          <w:b/>
          <w:i w:val="0"/>
          <w:sz w:val="24"/>
        </w:rPr>
        <w:t>[FECHA DE LA RESOLUCIÓN IMPUGNADA]</w:t>
      </w:r>
      <w:r>
        <w:rPr>
          <w:rFonts w:ascii="Arial" w:hAnsi="Arial"/>
          <w:b w:val="0"/>
          <w:i w:val="0"/>
          <w:sz w:val="24"/>
        </w:rPr>
        <w:t>: la fecha que ostenta ese oficio.</w:t>
      </w:r>
    </w:p>
    <w:p>
      <w:pPr>
        <w:spacing w:line="360" w:lineRule="auto"/>
        <w:jc w:val="both"/>
      </w:pPr>
      <w:r>
        <w:rPr>
          <w:rFonts w:ascii="Arial" w:hAnsi="Arial"/>
          <w:b/>
          <w:i w:val="0"/>
          <w:sz w:val="24"/>
        </w:rPr>
        <w:t>[AUTORIDAD DEMANDADA]</w:t>
      </w:r>
      <w:r>
        <w:rPr>
          <w:rFonts w:ascii="Arial" w:hAnsi="Arial"/>
          <w:b w:val="0"/>
          <w:i w:val="0"/>
          <w:sz w:val="24"/>
        </w:rPr>
        <w:t>: la unidad administrativa que emitió la resolución impugnada, con su denominación completa.</w:t>
      </w:r>
    </w:p>
    <w:p>
      <w:pPr>
        <w:spacing w:line="360" w:lineRule="auto"/>
        <w:jc w:val="both"/>
      </w:pPr>
      <w:r>
        <w:rPr>
          <w:rFonts w:ascii="Arial" w:hAnsi="Arial"/>
          <w:b/>
          <w:i w:val="0"/>
          <w:sz w:val="24"/>
        </w:rPr>
        <w:t>[NÚMERO DE OFICIO DE LA RESOLUCIÓN RECURRIDA]</w:t>
      </w:r>
      <w:r>
        <w:rPr>
          <w:rFonts w:ascii="Arial" w:hAnsi="Arial"/>
          <w:b w:val="0"/>
          <w:i w:val="0"/>
          <w:sz w:val="24"/>
        </w:rPr>
        <w:t>: el oficio que negó originalmente la devolución; si no hubo recurso, suprime la referencia y el párrafo de litis abierta.</w:t>
      </w:r>
    </w:p>
    <w:p>
      <w:pPr>
        <w:spacing w:line="360" w:lineRule="auto"/>
        <w:jc w:val="both"/>
      </w:pPr>
      <w:r>
        <w:rPr>
          <w:rFonts w:ascii="Arial" w:hAnsi="Arial"/>
          <w:b/>
          <w:i w:val="0"/>
          <w:sz w:val="24"/>
        </w:rPr>
        <w:t>[NOMBRE DE LA PARTE ACTORA]</w:t>
      </w:r>
      <w:r>
        <w:rPr>
          <w:rFonts w:ascii="Arial" w:hAnsi="Arial"/>
          <w:b w:val="0"/>
          <w:i w:val="0"/>
          <w:sz w:val="24"/>
        </w:rPr>
        <w:t>: la denominación o razón social de la contribuyente que solicitó la devolución.</w:t>
      </w:r>
    </w:p>
    <w:p>
      <w:pPr>
        <w:spacing w:line="360" w:lineRule="auto"/>
        <w:jc w:val="both"/>
      </w:pPr>
      <w:r>
        <w:rPr>
          <w:rFonts w:ascii="Arial" w:hAnsi="Arial"/>
          <w:b/>
          <w:i w:val="0"/>
          <w:sz w:val="24"/>
        </w:rPr>
        <w:t>[PERIODO DEL SALDO A FAVOR]</w:t>
      </w:r>
      <w:r>
        <w:rPr>
          <w:rFonts w:ascii="Arial" w:hAnsi="Arial"/>
          <w:b w:val="0"/>
          <w:i w:val="0"/>
          <w:sz w:val="24"/>
        </w:rPr>
        <w:t>: el mes y ejercicio del saldo a favor del impuesto al valor agregado cuya devolución se negó.</w:t>
      </w:r>
    </w:p>
    <w:p>
      <w:pPr>
        <w:spacing w:line="360" w:lineRule="auto"/>
        <w:jc w:val="both"/>
      </w:pPr>
      <w:r>
        <w:rPr>
          <w:rFonts w:ascii="Arial" w:hAnsi="Arial"/>
          <w:b/>
          <w:i w:val="0"/>
          <w:sz w:val="24"/>
        </w:rPr>
        <w:t>[MONTO NEGADO]</w:t>
      </w:r>
      <w:r>
        <w:rPr>
          <w:rFonts w:ascii="Arial" w:hAnsi="Arial"/>
          <w:b w:val="0"/>
          <w:i w:val="0"/>
          <w:sz w:val="24"/>
        </w:rPr>
        <w:t>: la cantidad rechazada por el gasto aéreo, con número y letra.</w:t>
      </w:r>
    </w:p>
    <w:p>
      <w:pPr>
        <w:spacing w:line="360" w:lineRule="auto"/>
        <w:jc w:val="both"/>
      </w:pPr>
      <w:r>
        <w:rPr>
          <w:rFonts w:ascii="Arial" w:hAnsi="Arial"/>
          <w:b/>
          <w:i w:val="0"/>
          <w:sz w:val="24"/>
        </w:rPr>
        <w:t>[NOMBRE DEL PROVEEDOR DEL SERVICIO AÉREO]</w:t>
      </w:r>
      <w:r>
        <w:rPr>
          <w:rFonts w:ascii="Arial" w:hAnsi="Arial"/>
          <w:b w:val="0"/>
          <w:i w:val="0"/>
          <w:sz w:val="24"/>
        </w:rPr>
        <w:t>: la denominación de la empresa que prestó el servicio o concedió el uso de la aeronave.</w:t>
      </w:r>
    </w:p>
    <w:p>
      <w:pPr>
        <w:spacing w:line="360" w:lineRule="auto"/>
        <w:jc w:val="both"/>
      </w:pPr>
      <w:r>
        <w:rPr>
          <w:rFonts w:ascii="Arial" w:hAnsi="Arial"/>
          <w:b/>
          <w:i w:val="0"/>
          <w:sz w:val="24"/>
        </w:rPr>
        <w:t>[EJERCICIO FISCAL]</w:t>
      </w:r>
      <w:r>
        <w:rPr>
          <w:rFonts w:ascii="Arial" w:hAnsi="Arial"/>
          <w:b w:val="0"/>
          <w:i w:val="0"/>
          <w:sz w:val="24"/>
        </w:rPr>
        <w:t>: el ejercicio al que corresponde el gasto, para citar la ley y la Resolución Miscelánea Fiscal vigentes en él.</w:t>
      </w:r>
    </w:p>
    <w:p>
      <w:pPr>
        <w:spacing w:line="360" w:lineRule="auto"/>
        <w:jc w:val="both"/>
      </w:pPr>
      <w:r>
        <w:rPr>
          <w:rFonts w:ascii="Arial" w:hAnsi="Arial"/>
          <w:b/>
          <w:i w:val="0"/>
          <w:sz w:val="24"/>
        </w:rPr>
        <w:t>[NÚMERO DE LA REGLA MISCELÁNEA INVOCADA]</w:t>
      </w:r>
      <w:r>
        <w:rPr>
          <w:rFonts w:ascii="Arial" w:hAnsi="Arial"/>
          <w:b w:val="0"/>
          <w:i w:val="0"/>
          <w:sz w:val="24"/>
        </w:rPr>
        <w:t>: la regla que citó la autoridad (en la Resolución Miscelánea Fiscal para 2024 fue la 3.3.1.33); coteja que su texto coincida con el que transcribe el machote.</w:t>
      </w:r>
    </w:p>
    <w:p>
      <w:pPr>
        <w:spacing w:line="360" w:lineRule="auto"/>
        <w:jc w:val="both"/>
      </w:pPr>
      <w:r>
        <w:rPr>
          <w:rFonts w:ascii="Arial" w:hAnsi="Arial"/>
          <w:b/>
          <w:i w:val="0"/>
          <w:sz w:val="24"/>
        </w:rPr>
        <w:t>[DENOMINACIÓN Y FECHA DEL CONTRATO]</w:t>
      </w:r>
      <w:r>
        <w:rPr>
          <w:rFonts w:ascii="Arial" w:hAnsi="Arial"/>
          <w:b w:val="0"/>
          <w:i w:val="0"/>
          <w:sz w:val="24"/>
        </w:rPr>
        <w:t>: el nombre y la fecha del contrato de servicios de transportación aérea o de uso de la aeronave.</w:t>
      </w:r>
    </w:p>
    <w:p>
      <w:pPr>
        <w:spacing w:line="360" w:lineRule="auto"/>
        <w:jc w:val="both"/>
      </w:pPr>
      <w:r>
        <w:rPr>
          <w:rFonts w:ascii="Arial" w:hAnsi="Arial"/>
          <w:b/>
          <w:i w:val="0"/>
          <w:sz w:val="24"/>
        </w:rPr>
        <w:t>[NÚMERO Y FECHA DEL PERMISO O CONCESIÓN]</w:t>
      </w:r>
      <w:r>
        <w:rPr>
          <w:rFonts w:ascii="Arial" w:hAnsi="Arial"/>
          <w:b w:val="0"/>
          <w:i w:val="0"/>
          <w:sz w:val="24"/>
        </w:rPr>
        <w:t>: los datos del permiso o concesión del proveedor para explotar comercialmente la aeronave.</w:t>
      </w:r>
    </w:p>
    <w:p>
      <w:pPr>
        <w:spacing w:line="360" w:lineRule="auto"/>
        <w:jc w:val="both"/>
      </w:pPr>
      <w:r>
        <w:rPr>
          <w:rFonts w:ascii="Arial" w:hAnsi="Arial"/>
          <w:b/>
          <w:i w:val="0"/>
          <w:sz w:val="24"/>
        </w:rPr>
        <w:t>[AUTORIDAD AERONÁUTICA EMISORA]</w:t>
      </w:r>
      <w:r>
        <w:rPr>
          <w:rFonts w:ascii="Arial" w:hAnsi="Arial"/>
          <w:b w:val="0"/>
          <w:i w:val="0"/>
          <w:sz w:val="24"/>
        </w:rPr>
        <w:t>: la autoridad que lo expidió, por ejemplo la Agencia Federal de Aviación Civil.</w:t>
      </w:r>
    </w:p>
    <w:p/>
    <w:p>
      <w:pPr>
        <w:spacing w:line="360" w:lineRule="auto"/>
        <w:jc w:val="both"/>
      </w:pPr>
      <w:r>
        <w:rPr>
          <w:rFonts w:ascii="Arial" w:hAnsi="Arial"/>
          <w:b/>
          <w:sz w:val="28"/>
        </w:rPr>
        <w:t>[NÚMERO ORDINAL DEL CONCEPTO] CONCEPTO DE IMPUGNACIÓN. Indebida aplicación del aviso previsto para deducir inversiones en aviones a un gasto por el uso o goce temporal de una aeronave. La autoridad negó la devolución del impuesto al valor agregado con base en un requisito formal que ninguna disposición impone a ese gasto y dejó de aplicar el artículo 28, fracción XIII, primer párrafo, de la Ley del Impuesto sobre la Renta, por lo que se actualiza la causal de nulidad del artículo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el oficio </w:t>
      </w:r>
      <w:r>
        <w:rPr>
          <w:rFonts w:ascii="Arial" w:hAnsi="Arial"/>
          <w:b/>
          <w:i w:val="0"/>
          <w:sz w:val="28"/>
        </w:rPr>
        <w:t>[NÚMERO DE OFICIO DE LA RESOLUCIÓN IMPUGNADA]</w:t>
      </w:r>
      <w:r>
        <w:rPr>
          <w:rFonts w:ascii="Arial" w:hAnsi="Arial"/>
          <w:b w:val="0"/>
          <w:i w:val="0"/>
          <w:sz w:val="28"/>
        </w:rPr>
        <w:t xml:space="preserve">, emitida por la </w:t>
      </w:r>
      <w:r>
        <w:rPr>
          <w:rFonts w:ascii="Arial" w:hAnsi="Arial"/>
          <w:b/>
          <w:i w:val="0"/>
          <w:sz w:val="28"/>
        </w:rPr>
        <w:t>[AUTORIDAD DEMANDADA]</w:t>
      </w:r>
      <w:r>
        <w:rPr>
          <w:rFonts w:ascii="Arial" w:hAnsi="Arial"/>
          <w:b w:val="0"/>
          <w:i w:val="0"/>
          <w:sz w:val="28"/>
        </w:rPr>
        <w:t xml:space="preserve">, y la resolución recurrida que aquélla confirmó son ilegales, porque negaron a </w:t>
      </w:r>
      <w:r>
        <w:rPr>
          <w:rFonts w:ascii="Arial" w:hAnsi="Arial"/>
          <w:b/>
          <w:i w:val="0"/>
          <w:sz w:val="28"/>
        </w:rPr>
        <w:t>[NOMBRE DE LA PARTE ACTORA]</w:t>
      </w:r>
      <w:r>
        <w:rPr>
          <w:rFonts w:ascii="Arial" w:hAnsi="Arial"/>
          <w:b w:val="0"/>
          <w:i w:val="0"/>
          <w:sz w:val="28"/>
        </w:rPr>
        <w:t xml:space="preserve"> la devolución del saldo a favor del impuesto al valor agregado correspondiente a </w:t>
      </w:r>
      <w:r>
        <w:rPr>
          <w:rFonts w:ascii="Arial" w:hAnsi="Arial"/>
          <w:b/>
          <w:i w:val="0"/>
          <w:sz w:val="28"/>
        </w:rPr>
        <w:t>[PERIODO DEL SALDO A FAVOR]</w:t>
      </w:r>
      <w:r>
        <w:rPr>
          <w:rFonts w:ascii="Arial" w:hAnsi="Arial"/>
          <w:b w:val="0"/>
          <w:i w:val="0"/>
          <w:sz w:val="28"/>
        </w:rPr>
        <w:t xml:space="preserve">, en la parte de </w:t>
      </w:r>
      <w:r>
        <w:rPr>
          <w:rFonts w:ascii="Arial" w:hAnsi="Arial"/>
          <w:b/>
          <w:i w:val="0"/>
          <w:sz w:val="28"/>
        </w:rPr>
        <w:t>[MONTO NEGADO]</w:t>
      </w:r>
      <w:r>
        <w:rPr>
          <w:rFonts w:ascii="Arial" w:hAnsi="Arial"/>
          <w:b w:val="0"/>
          <w:i w:val="0"/>
          <w:sz w:val="28"/>
        </w:rPr>
        <w:t xml:space="preserve"> vinculada con el proveedor </w:t>
      </w:r>
      <w:r>
        <w:rPr>
          <w:rFonts w:ascii="Arial" w:hAnsi="Arial"/>
          <w:b/>
          <w:i w:val="0"/>
          <w:sz w:val="28"/>
        </w:rPr>
        <w:t>[NOMBRE DEL PROVEEDOR DEL SERVICIO AÉREO]</w:t>
      </w:r>
      <w:r>
        <w:rPr>
          <w:rFonts w:ascii="Arial" w:hAnsi="Arial"/>
          <w:b w:val="0"/>
          <w:i w:val="0"/>
          <w:sz w:val="28"/>
        </w:rPr>
        <w:t>, con el argumento de que la parte actora no presentó el aviso de la ficha de trámite 72/ISR.</w:t>
      </w:r>
    </w:p>
    <w:p>
      <w:pPr>
        <w:spacing w:line="360" w:lineRule="auto"/>
        <w:jc w:val="both"/>
      </w:pPr>
      <w:r>
        <w:rPr>
          <w:rFonts w:ascii="Arial" w:hAnsi="Arial"/>
          <w:b w:val="0"/>
          <w:i w:val="0"/>
          <w:sz w:val="28"/>
        </w:rPr>
        <w:t>La demostración descansa en una distinción que la legislación del impuesto sobre la renta traza con nitidez: una cosa es el gasto por el uso o goce temporal de un avión, que la ley sujeta a una sola condición específica, la concesión o permiso del Gobierno Federal para explotar comercialmente la aeronave, y otra la inversión en aviones, activo fijo que se deduce mediante porcentajes y que la regla administrativa condiciona a la presentación del aviso.</w:t>
      </w:r>
    </w:p>
    <w:p>
      <w:pPr>
        <w:spacing w:line="360" w:lineRule="auto"/>
        <w:jc w:val="both"/>
      </w:pPr>
      <w:r>
        <w:rPr>
          <w:rFonts w:ascii="Arial" w:hAnsi="Arial"/>
          <w:b w:val="0"/>
          <w:i w:val="0"/>
          <w:sz w:val="28"/>
        </w:rPr>
        <w:t>Al trasladar al gasto un requisito que el orden normativo reservó, en materia de aeronaves, para las inversiones, la autoridad aplicó una disposición que no regía el caso y dejó de aplicar la que sí lo regía, hipótesis exacta de la fracción IV del artículo 51 de la Ley Federal de Procedimiento Contencioso Administrativo; y como el proveedor cuenta con permiso para la explotación comercial de la aeronave y la autoridad no opuso otro motivo, procede la nulidad, el reconocimiento del derecho a la devolución y la condena a efectuarla.</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la resolución contenida en el oficio </w:t>
      </w:r>
      <w:r>
        <w:rPr>
          <w:rFonts w:ascii="Arial" w:hAnsi="Arial"/>
          <w:b/>
          <w:i w:val="0"/>
          <w:sz w:val="28"/>
        </w:rPr>
        <w:t>[NÚMERO DE OFICIO DE LA RESOLUCIÓN IMPUGNADA]</w:t>
      </w:r>
      <w:r>
        <w:rPr>
          <w:rFonts w:ascii="Arial" w:hAnsi="Arial"/>
          <w:b w:val="0"/>
          <w:i w:val="0"/>
          <w:sz w:val="28"/>
        </w:rPr>
        <w:t xml:space="preserve">, de fecha </w:t>
      </w:r>
      <w:r>
        <w:rPr>
          <w:rFonts w:ascii="Arial" w:hAnsi="Arial"/>
          <w:b/>
          <w:i w:val="0"/>
          <w:sz w:val="28"/>
        </w:rPr>
        <w:t>[FECHA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declaró infundado el recurso de revocación y confirmó la resolución contenida en el oficio </w:t>
      </w:r>
      <w:r>
        <w:rPr>
          <w:rFonts w:ascii="Arial" w:hAnsi="Arial"/>
          <w:b/>
          <w:i w:val="0"/>
          <w:sz w:val="28"/>
        </w:rPr>
        <w:t>[NÚMERO DE OFICIO DE LA RESOLUCIÓN RECURRIDA]</w:t>
      </w:r>
      <w:r>
        <w:rPr>
          <w:rFonts w:ascii="Arial" w:hAnsi="Arial"/>
          <w:b w:val="0"/>
          <w:i w:val="0"/>
          <w:sz w:val="28"/>
        </w:rPr>
        <w:t>, que negó parcialmente la devolución solicitada. En ambos actos el motivo es el mismo: el gasto sería no deducible para efectos del impuesto sobre la renta y, por ello, el impuesto trasladado no sería acreditable.</w:t>
      </w:r>
    </w:p>
    <w:p>
      <w:pPr>
        <w:spacing w:line="360" w:lineRule="auto"/>
        <w:jc w:val="both"/>
      </w:pPr>
      <w:r>
        <w:rPr>
          <w:rFonts w:ascii="Arial" w:hAnsi="Arial"/>
          <w:b w:val="0"/>
          <w:i w:val="0"/>
          <w:sz w:val="28"/>
        </w:rPr>
        <w:t xml:space="preserve">Las normas cuya inobservancia se plantea son el artículo 28, fracción XIII, primer párrafo, de la Ley del Impuesto sobre la Renta vigente en </w:t>
      </w:r>
      <w:r>
        <w:rPr>
          <w:rFonts w:ascii="Arial" w:hAnsi="Arial"/>
          <w:b/>
          <w:i w:val="0"/>
          <w:sz w:val="28"/>
        </w:rPr>
        <w:t>[EJERCICIO FISCAL]</w:t>
      </w:r>
      <w:r>
        <w:rPr>
          <w:rFonts w:ascii="Arial" w:hAnsi="Arial"/>
          <w:b w:val="0"/>
          <w:i w:val="0"/>
          <w:sz w:val="28"/>
        </w:rPr>
        <w:t>, que regula la deducibilidad de los pagos por el uso o goce temporal de aviones; el artículo 5, fracción I, de la Ley del Impuesto al Valor Agregado, que liga el acreditamiento a esa deducibilidad; el artículo 5 del Código Fiscal de la Federación, que ordena aplicar estrictamente las disposiciones que establecen cargas; y el artículo 22 del mismo Código, que obliga a devolver las cantidades que procedan conforme a las leyes fiscales.</w:t>
      </w:r>
    </w:p>
    <w:p>
      <w:pPr>
        <w:spacing w:line="360" w:lineRule="auto"/>
        <w:jc w:val="both"/>
      </w:pPr>
      <w:r>
        <w:rPr>
          <w:rFonts w:ascii="Arial" w:hAnsi="Arial"/>
          <w:b w:val="0"/>
          <w:i w:val="0"/>
          <w:sz w:val="28"/>
        </w:rPr>
        <w:t>El perjuicio es directo, pues se priva a la parte actora de una cantidad que la ley le reconoce, con base en un requisito formal que ninguna disposición aplicable le imponía, y se la obliga a litigar la recuperación de su propio saldo a favor. De prosperar este concepto, el beneficio es el mayor posible, porque la autoridad no expuso otra razón para negar la devolución y el Tribunal cuenta con los elementos para reconocer el derecho y condenar a su pago.</w:t>
      </w:r>
    </w:p>
    <w:p>
      <w:pPr>
        <w:spacing w:line="360" w:lineRule="auto"/>
        <w:jc w:val="both"/>
      </w:pPr>
      <w:r>
        <w:rPr>
          <w:rFonts w:ascii="Arial" w:hAnsi="Arial"/>
          <w:b w:val="0"/>
          <w:i w:val="0"/>
          <w:sz w:val="28"/>
        </w:rPr>
        <w:t>Cabe precisar que, al impugnarse la resolución recaída al recurso de revocación, se controvierte simultáneamente la resolución recurrida en la parte que continúa afectando a la parte actora, con la posibilidad de formular conceptos de impugnación no planteados en el recurso, conforme al artículo 1o., segundo párrafo, de la Ley Federal de Procedimiento Contencioso Administrativo; y el artículo 50 de esa ley ordena al Tribunal pronunciarse sobre la legalidad de la recurrida cuando cuente con elementos suficientes para ello.</w:t>
      </w:r>
    </w:p>
    <w:p>
      <w:pPr>
        <w:spacing w:line="360" w:lineRule="auto"/>
        <w:jc w:val="both"/>
      </w:pPr>
      <w:r>
        <w:rPr>
          <w:rFonts w:ascii="Arial" w:hAnsi="Arial"/>
          <w:b/>
          <w:sz w:val="28"/>
        </w:rPr>
        <w:t>III. Desarrollo normativo y doctrinal. Premisa mayor.</w:t>
      </w:r>
    </w:p>
    <w:p>
      <w:pPr>
        <w:spacing w:line="360" w:lineRule="auto"/>
        <w:jc w:val="both"/>
      </w:pPr>
      <w:r>
        <w:rPr>
          <w:rFonts w:ascii="Arial" w:hAnsi="Arial"/>
          <w:b w:val="0"/>
          <w:i w:val="0"/>
          <w:sz w:val="28"/>
        </w:rPr>
        <w:t>El punto de partida es el derecho a la devolución, pues el artículo 22 del Código Fiscal de la Federación obliga a las autoridades fiscales a devolver las cantidades pagadas indebidamente y las que procedan conforme a las leyes fiscales. En los saldos a favor del impuesto al valor agregado, la procedencia depende del acreditamiento regulado en el artículo 5 de la ley de ese impuesto, cuya fracción I exige que el impuesto trasladado corresponda, entre otros supuestos, al uso o goce temporal de bienes estrictamente indispensables, calidad propia de las erogaciones deducibles para el impuesto sobre la renta.</w:t>
      </w:r>
    </w:p>
    <w:p>
      <w:pPr>
        <w:spacing w:line="360" w:lineRule="auto"/>
        <w:jc w:val="both"/>
      </w:pPr>
      <w:r>
        <w:rPr>
          <w:rFonts w:ascii="Arial" w:hAnsi="Arial"/>
          <w:b w:val="0"/>
          <w:i w:val="0"/>
          <w:sz w:val="28"/>
        </w:rPr>
        <w:t xml:space="preserve">De ahí que la pregunta decisiva sea una sola: si el pago por el uso o goce temporal de la aeronave era deducible. El artículo 27, fracción I, de la Ley del Impuesto sobre la Renta exige que las deducciones sean estrictamente indispensables para los fines de la actividad del contribuyente, y el artículo 28, fracción XIII, primer párrafo, del mismo ordenamiento dispone que no serán deducibles </w:t>
      </w:r>
      <w:r>
        <w:rPr>
          <w:rFonts w:ascii="Arial" w:hAnsi="Arial"/>
          <w:b w:val="0"/>
          <w:i/>
          <w:sz w:val="28"/>
        </w:rPr>
        <w:t>“Los pagos por el uso o goce temporal de aviones y embarcaciones, que no tengan concesión o permiso del Gobierno Federal para ser explotados comercialmente.”</w:t>
      </w:r>
    </w:p>
    <w:p>
      <w:pPr>
        <w:spacing w:line="360" w:lineRule="auto"/>
        <w:jc w:val="both"/>
      </w:pPr>
      <w:r>
        <w:rPr>
          <w:rFonts w:ascii="Arial" w:hAnsi="Arial"/>
          <w:b w:val="0"/>
          <w:i w:val="0"/>
          <w:sz w:val="28"/>
        </w:rPr>
        <w:t xml:space="preserve">La lectura a contrario del precepto es inmediata: esos pagos son deducibles cuando la aeronave cuenta con concesión o permiso del Gobierno Federal para su explotación comercial, única condición específica que la ley impone a ese gasto. El legislador no remitió al reglamento para añadir otras, y la diferencia se advierte al leer el párrafo siguiente de la misma fracción, que para los pagos por el uso o goce temporal de casas habitación sí dispone que </w:t>
      </w:r>
      <w:r>
        <w:rPr>
          <w:rFonts w:ascii="Arial" w:hAnsi="Arial"/>
          <w:b w:val="0"/>
          <w:i/>
          <w:sz w:val="28"/>
        </w:rPr>
        <w:t>“sólo serán deducibles en los casos en que reúnan los requisitos que señale el Reglamento de esta Ley”</w:t>
      </w:r>
      <w:r>
        <w:rPr>
          <w:rFonts w:ascii="Arial" w:hAnsi="Arial"/>
          <w:b w:val="0"/>
          <w:i w:val="0"/>
          <w:sz w:val="28"/>
        </w:rPr>
        <w:t>.</w:t>
      </w:r>
    </w:p>
    <w:p>
      <w:pPr>
        <w:spacing w:line="360" w:lineRule="auto"/>
        <w:jc w:val="both"/>
      </w:pPr>
      <w:r>
        <w:rPr>
          <w:rFonts w:ascii="Arial" w:hAnsi="Arial"/>
          <w:b w:val="0"/>
          <w:i w:val="0"/>
          <w:sz w:val="28"/>
        </w:rPr>
        <w:t xml:space="preserve">El Reglamento desarrolló esa remisión en su artículo 60, que exige presentar un aviso ante la autoridad fiscal únicamente a </w:t>
      </w:r>
      <w:r>
        <w:rPr>
          <w:rFonts w:ascii="Arial" w:hAnsi="Arial"/>
          <w:b w:val="0"/>
          <w:i/>
          <w:sz w:val="28"/>
        </w:rPr>
        <w:t>“las personas morales que pretendan deducir los pagos por el uso o goce temporal de casas habitación”</w:t>
      </w:r>
      <w:r>
        <w:rPr>
          <w:rFonts w:ascii="Arial" w:hAnsi="Arial"/>
          <w:b w:val="0"/>
          <w:i w:val="0"/>
          <w:sz w:val="28"/>
        </w:rPr>
        <w:t>. El precepto reglamentario no menciona aviones ni embarcaciones, y su materia se circunscribe a la casa habitación porque sólo respecto de ella la ley delegó en el reglamento la fijación de requisitos adicionales.</w:t>
      </w:r>
    </w:p>
    <w:p>
      <w:pPr>
        <w:spacing w:line="360" w:lineRule="auto"/>
        <w:jc w:val="both"/>
      </w:pPr>
      <w:r>
        <w:rPr>
          <w:rFonts w:ascii="Arial" w:hAnsi="Arial"/>
          <w:b w:val="0"/>
          <w:i w:val="0"/>
          <w:sz w:val="28"/>
        </w:rPr>
        <w:t xml:space="preserve">La regla </w:t>
      </w:r>
      <w:r>
        <w:rPr>
          <w:rFonts w:ascii="Arial" w:hAnsi="Arial"/>
          <w:b/>
          <w:i w:val="0"/>
          <w:sz w:val="28"/>
        </w:rPr>
        <w:t>[NÚMERO DE LA REGLA MISCELÁNEA INVOCADA]</w:t>
      </w:r>
      <w:r>
        <w:rPr>
          <w:rFonts w:ascii="Arial" w:hAnsi="Arial"/>
          <w:b w:val="0"/>
          <w:i w:val="0"/>
          <w:sz w:val="28"/>
        </w:rPr>
        <w:t xml:space="preserve"> de la Resolución Miscelánea Fiscal para </w:t>
      </w:r>
      <w:r>
        <w:rPr>
          <w:rFonts w:ascii="Arial" w:hAnsi="Arial"/>
          <w:b/>
          <w:i w:val="0"/>
          <w:sz w:val="28"/>
        </w:rPr>
        <w:t>[EJERCICIO FISCAL]</w:t>
      </w:r>
      <w:r>
        <w:rPr>
          <w:rFonts w:ascii="Arial" w:hAnsi="Arial"/>
          <w:b w:val="0"/>
          <w:i w:val="0"/>
          <w:sz w:val="28"/>
        </w:rPr>
        <w:t xml:space="preserve"> se emite para los efectos de los artículos 60 y 76 del Reglamento, y vincula este último con las inversiones en comedores, aviones y embarcaciones. Su texto dispone que </w:t>
      </w:r>
      <w:r>
        <w:rPr>
          <w:rFonts w:ascii="Arial" w:hAnsi="Arial"/>
          <w:b w:val="0"/>
          <w:i/>
          <w:sz w:val="28"/>
        </w:rPr>
        <w:t>“las personas morales que realicen pagos por el uso o goce temporal de casas habitación e inversiones en comedores, aviones y embarcaciones, serán deducibles solo mediante la presentación de aviso”</w:t>
      </w:r>
      <w:r>
        <w:rPr>
          <w:rFonts w:ascii="Arial" w:hAnsi="Arial"/>
          <w:b w:val="0"/>
          <w:i w:val="0"/>
          <w:sz w:val="28"/>
        </w:rPr>
        <w:t>, en los términos de la ficha de trámite 72/ISR del Anexo 1-A.</w:t>
      </w:r>
    </w:p>
    <w:p>
      <w:pPr>
        <w:spacing w:line="360" w:lineRule="auto"/>
        <w:jc w:val="both"/>
      </w:pPr>
      <w:r>
        <w:rPr>
          <w:rFonts w:ascii="Arial" w:hAnsi="Arial"/>
          <w:b w:val="0"/>
          <w:i w:val="0"/>
          <w:sz w:val="28"/>
        </w:rPr>
        <w:t xml:space="preserve">La rúbrica de la regla confirma su alcance: </w:t>
      </w:r>
      <w:r>
        <w:rPr>
          <w:rFonts w:ascii="Arial" w:hAnsi="Arial"/>
          <w:b w:val="0"/>
          <w:i/>
          <w:sz w:val="28"/>
        </w:rPr>
        <w:t>“Aviso para deducir pagos por el uso o goce temporal de casa habitación e inversiones en comedores, aviones y embarcaciones”</w:t>
      </w:r>
      <w:r>
        <w:rPr>
          <w:rFonts w:ascii="Arial" w:hAnsi="Arial"/>
          <w:b w:val="0"/>
          <w:i w:val="0"/>
          <w:sz w:val="28"/>
        </w:rPr>
        <w:t>. Leída desde su propio título, la regla contempla cuatro supuestos precisos, un gasto por uso o goce temporal referido sólo a casas habitación y tres inversiones, entre ellas la inversión en aviones, como lo ha reconocido una Sala Regional de este Tribunal en casos análogos.</w:t>
      </w:r>
    </w:p>
    <w:p>
      <w:pPr>
        <w:spacing w:line="360" w:lineRule="auto"/>
        <w:jc w:val="both"/>
      </w:pPr>
      <w:r>
        <w:rPr>
          <w:rFonts w:ascii="Arial" w:hAnsi="Arial"/>
          <w:b w:val="0"/>
          <w:i w:val="0"/>
          <w:sz w:val="28"/>
        </w:rPr>
        <w:t>La doctrina de la interpretación denomina argumento a rúbrica al que atribuye significado a una disposición a partir del título del texto normativo o del apartado en que se ubica, bajo la presunción de que las intenciones de su autor quedan plasmadas en esos títulos, aunque la rúbrica no sea norma en sentido estricto.</w:t>
      </w:r>
      <w:r>
        <w:rPr>
          <w:rFonts w:ascii="Arial" w:hAnsi="Arial"/>
          <w:vertAlign w:val="superscript"/>
        </w:rPr>
        <w:t>1</w:t>
      </w:r>
      <w:r>
        <w:rPr>
          <w:rFonts w:ascii="Arial" w:hAnsi="Arial"/>
          <w:b w:val="0"/>
          <w:i w:val="0"/>
          <w:sz w:val="28"/>
        </w:rPr>
        <w:t xml:space="preserve"> Aplicado a la regla, ese argumento excluye de su ámbito el pago por el uso o goce temporal de un avión, que no figura en ninguno de los cuatro supuestos que enuncia su título.</w:t>
      </w:r>
    </w:p>
    <w:p>
      <w:pPr>
        <w:spacing w:line="360" w:lineRule="auto"/>
        <w:jc w:val="both"/>
      </w:pPr>
      <w:r>
        <w:rPr>
          <w:rFonts w:ascii="Arial" w:hAnsi="Arial"/>
          <w:b w:val="0"/>
          <w:i w:val="0"/>
          <w:sz w:val="28"/>
        </w:rPr>
        <w:t>El argumento de constancia terminológica conduce a la misma conclusión, pues parte de que el creador de la norma emplea cada término con el mismo significado dentro de un mismo documento normativo y de que, cuando emplea expresiones distintas, alude a conceptos diversos.</w:t>
      </w:r>
      <w:r>
        <w:rPr>
          <w:rFonts w:ascii="Arial" w:hAnsi="Arial"/>
          <w:vertAlign w:val="superscript"/>
        </w:rPr>
        <w:t>2</w:t>
      </w:r>
      <w:r>
        <w:rPr>
          <w:rFonts w:ascii="Arial" w:hAnsi="Arial"/>
          <w:b w:val="0"/>
          <w:i w:val="0"/>
          <w:sz w:val="28"/>
        </w:rPr>
        <w:t xml:space="preserve"> La regla distingue entre </w:t>
      </w:r>
      <w:r>
        <w:rPr>
          <w:rFonts w:ascii="Arial" w:hAnsi="Arial"/>
          <w:b w:val="0"/>
          <w:i/>
          <w:sz w:val="28"/>
        </w:rPr>
        <w:t>“pagos por el uso o goce temporal”</w:t>
      </w:r>
      <w:r>
        <w:rPr>
          <w:rFonts w:ascii="Arial" w:hAnsi="Arial"/>
          <w:b w:val="0"/>
          <w:i w:val="0"/>
          <w:sz w:val="28"/>
        </w:rPr>
        <w:t xml:space="preserve"> e </w:t>
      </w:r>
      <w:r>
        <w:rPr>
          <w:rFonts w:ascii="Arial" w:hAnsi="Arial"/>
          <w:b w:val="0"/>
          <w:i/>
          <w:sz w:val="28"/>
        </w:rPr>
        <w:t>“inversiones”</w:t>
      </w:r>
      <w:r>
        <w:rPr>
          <w:rFonts w:ascii="Arial" w:hAnsi="Arial"/>
          <w:b w:val="0"/>
          <w:i w:val="0"/>
          <w:sz w:val="28"/>
        </w:rPr>
        <w:t>, y ambas expresiones tienen en la Ley del Impuesto sobre la Renta un contenido técnico propio que no admite intercambiarse.</w:t>
      </w:r>
    </w:p>
    <w:p>
      <w:pPr>
        <w:spacing w:line="360" w:lineRule="auto"/>
        <w:jc w:val="both"/>
      </w:pPr>
      <w:r>
        <w:rPr>
          <w:rFonts w:ascii="Arial" w:hAnsi="Arial"/>
          <w:b w:val="0"/>
          <w:i w:val="0"/>
          <w:sz w:val="28"/>
        </w:rPr>
        <w:t>La ley regula las deducciones en general y las inversiones en secciones distintas del capítulo que dedica a las deducciones, y somete estas últimas a una mecánica propia: conforme a su artículo 31, las inversiones únicamente se deducen mediante la aplicación, en cada ejercicio, de los porcentajes máximos autorizados sobre el monto original de la inversión. La inversión en un avión supone la incorporación de un activo fijo al patrimonio del contribuyente; el pago por su uso o goce temporal, o por el servicio de transportación que con él se presta, es un gasto que se agota en la contraprestación.</w:t>
      </w:r>
    </w:p>
    <w:p>
      <w:pPr>
        <w:spacing w:line="360" w:lineRule="auto"/>
        <w:jc w:val="both"/>
      </w:pPr>
      <w:r>
        <w:rPr>
          <w:rFonts w:ascii="Arial" w:hAnsi="Arial"/>
          <w:b w:val="0"/>
          <w:i w:val="0"/>
          <w:sz w:val="28"/>
        </w:rPr>
        <w:t>A esa distinción se suma el mandato del artículo 5 del Código Fiscal de la Federación, conforme al cual las disposiciones fiscales que establezcan cargas a los particulares son de aplicación estricta. Un requisito del que depende la procedencia de una deducción es una carga para quien pretende deducir, pues de su cumplimiento pende el monto sobre el que tributa, de modo que sólo puede aplicarse a los supuestos que expresamente comprende.</w:t>
      </w:r>
    </w:p>
    <w:p>
      <w:pPr>
        <w:spacing w:line="360" w:lineRule="auto"/>
        <w:jc w:val="both"/>
      </w:pPr>
      <w:r>
        <w:rPr>
          <w:rFonts w:ascii="Arial" w:hAnsi="Arial"/>
          <w:b w:val="0"/>
          <w:i w:val="0"/>
          <w:sz w:val="28"/>
        </w:rPr>
        <w:t>La aplicación estricta cierra el paso a dos operaciones. La primera es la analogía, que consiste en atribuir a un supuesto no regulado la consecuencia jurídica prevista para otro distinto con el que guarda semejanza y que, más que interpretar disposiciones preexistentes, produce derecho nuevo.</w:t>
      </w:r>
      <w:r>
        <w:rPr>
          <w:rFonts w:ascii="Arial" w:hAnsi="Arial"/>
          <w:vertAlign w:val="superscript"/>
        </w:rPr>
        <w:t>3</w:t>
      </w:r>
      <w:r>
        <w:rPr>
          <w:rFonts w:ascii="Arial" w:hAnsi="Arial"/>
          <w:b w:val="0"/>
          <w:i w:val="0"/>
          <w:sz w:val="28"/>
        </w:rPr>
        <w:t xml:space="preserve"> La segunda es la interpretación extensiva que aplica una regla a situaciones que, a la luz del sentido lingüístico natural de sus palabras, quedan claramente fuera de su campo de referencia.</w:t>
      </w:r>
      <w:r>
        <w:rPr>
          <w:rFonts w:ascii="Arial" w:hAnsi="Arial"/>
          <w:vertAlign w:val="superscript"/>
        </w:rPr>
        <w:t>4</w:t>
      </w:r>
    </w:p>
    <w:p>
      <w:pPr>
        <w:spacing w:line="360" w:lineRule="auto"/>
        <w:jc w:val="both"/>
      </w:pPr>
      <w:r>
        <w:rPr>
          <w:rFonts w:ascii="Arial" w:hAnsi="Arial"/>
          <w:b w:val="0"/>
          <w:i w:val="0"/>
          <w:sz w:val="28"/>
        </w:rPr>
        <w:t xml:space="preserve">Extender el aviso de las inversiones en aviones al gasto por el uso o goce temporal de una aeronave supondría ambas cosas a la vez: aplicar a un supuesto que la regla no contempla la consecuencia prevista para otro, y dar a la palabra </w:t>
      </w:r>
      <w:r>
        <w:rPr>
          <w:rFonts w:ascii="Arial" w:hAnsi="Arial"/>
          <w:b w:val="0"/>
          <w:i/>
          <w:sz w:val="28"/>
        </w:rPr>
        <w:t>“aviones”</w:t>
      </w:r>
      <w:r>
        <w:rPr>
          <w:rFonts w:ascii="Arial" w:hAnsi="Arial"/>
          <w:b w:val="0"/>
          <w:i w:val="0"/>
          <w:sz w:val="28"/>
        </w:rPr>
        <w:t xml:space="preserve"> un campo de referencia que su contexto, la inversión, no le asigna. Ninguna de esas operaciones es admisible tratándose de una carga fiscal.</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encuadran en la premisa expuesta. La parte actora celebró con </w:t>
      </w:r>
      <w:r>
        <w:rPr>
          <w:rFonts w:ascii="Arial" w:hAnsi="Arial"/>
          <w:b/>
          <w:i w:val="0"/>
          <w:sz w:val="28"/>
        </w:rPr>
        <w:t>[NOMBRE DEL PROVEEDOR DEL SERVICIO AÉREO]</w:t>
      </w:r>
      <w:r>
        <w:rPr>
          <w:rFonts w:ascii="Arial" w:hAnsi="Arial"/>
          <w:b w:val="0"/>
          <w:i w:val="0"/>
          <w:sz w:val="28"/>
        </w:rPr>
        <w:t xml:space="preserve"> el </w:t>
      </w:r>
      <w:r>
        <w:rPr>
          <w:rFonts w:ascii="Arial" w:hAnsi="Arial"/>
          <w:b/>
          <w:i w:val="0"/>
          <w:sz w:val="28"/>
        </w:rPr>
        <w:t>[DENOMINACIÓN Y FECHA DEL CONTRATO]</w:t>
      </w:r>
      <w:r>
        <w:rPr>
          <w:rFonts w:ascii="Arial" w:hAnsi="Arial"/>
          <w:b w:val="0"/>
          <w:i w:val="0"/>
          <w:sz w:val="28"/>
        </w:rPr>
        <w:t>, cuyo objeto es la prestación de servicios de transportación aérea con una aeronave del proveedor a cambio de una contraprestación, y el proveedor le trasladó el impuesto al valor agregado en el comprobante fiscal correspondiente. La propia autoridad, al revisar la solicitud, conoció ese contrato y calificó la erogación como pago por el arrendamiento de un avión.</w:t>
      </w:r>
    </w:p>
    <w:p>
      <w:pPr>
        <w:spacing w:line="360" w:lineRule="auto"/>
        <w:jc w:val="both"/>
      </w:pPr>
      <w:r>
        <w:rPr>
          <w:rFonts w:ascii="Arial" w:hAnsi="Arial"/>
          <w:b w:val="0"/>
          <w:i w:val="0"/>
          <w:sz w:val="28"/>
        </w:rPr>
        <w:t xml:space="preserve">En ningún momento sostuvo la autoridad que la parte actora hubiera adquirido una aeronave o que pretendiera deducir una inversión en activo fijo. La operación es, por su naturaleza y por la calificación que la propia autoridad le dio, un gasto por el uso o goce temporal de un avión, y la única condición específica que la ley le impone está satisfecha, pues el proveedor cuenta con el permiso </w:t>
      </w:r>
      <w:r>
        <w:rPr>
          <w:rFonts w:ascii="Arial" w:hAnsi="Arial"/>
          <w:b/>
          <w:i w:val="0"/>
          <w:sz w:val="28"/>
        </w:rPr>
        <w:t>[NÚMERO Y FECHA DEL PERMISO O CONCESIÓN]</w:t>
      </w:r>
      <w:r>
        <w:rPr>
          <w:rFonts w:ascii="Arial" w:hAnsi="Arial"/>
          <w:b w:val="0"/>
          <w:i w:val="0"/>
          <w:sz w:val="28"/>
        </w:rPr>
        <w:t xml:space="preserve">, expedido por </w:t>
      </w:r>
      <w:r>
        <w:rPr>
          <w:rFonts w:ascii="Arial" w:hAnsi="Arial"/>
          <w:b/>
          <w:i w:val="0"/>
          <w:sz w:val="28"/>
        </w:rPr>
        <w:t>[AUTORIDAD AERONÁUTICA EMISORA]</w:t>
      </w:r>
      <w:r>
        <w:rPr>
          <w:rFonts w:ascii="Arial" w:hAnsi="Arial"/>
          <w:b w:val="0"/>
          <w:i w:val="0"/>
          <w:sz w:val="28"/>
        </w:rPr>
        <w:t xml:space="preserve"> para la explotación comercial de la aeronave.</w:t>
      </w:r>
    </w:p>
    <w:p>
      <w:pPr>
        <w:spacing w:line="360" w:lineRule="auto"/>
        <w:jc w:val="both"/>
      </w:pPr>
      <w:r>
        <w:rPr>
          <w:rFonts w:ascii="Arial" w:hAnsi="Arial"/>
          <w:b w:val="0"/>
          <w:i w:val="0"/>
          <w:sz w:val="28"/>
        </w:rPr>
        <w:t>La subsunción es directa. Si la erogación es estrictamente indispensable para la actividad de la parte actora y el prestador del servicio cuenta con permiso del Gobierno Federal para explotar comercialmente la aeronave, el pago es deducible conforme al artículo 28, fracción XIII, primer párrafo, de la Ley del Impuesto sobre la Renta; y si es deducible, el impuesto trasladado es acreditable en términos del artículo 5, fracción I, de la Ley del Impuesto al Valor Agregado, con lo que el saldo a favor procede y debe devolverse conforme al artículo 22 del Código Fiscal de la Federación.</w:t>
      </w:r>
    </w:p>
    <w:p>
      <w:pPr>
        <w:spacing w:line="360" w:lineRule="auto"/>
        <w:jc w:val="both"/>
      </w:pPr>
      <w:r>
        <w:rPr>
          <w:rFonts w:ascii="Arial" w:hAnsi="Arial"/>
          <w:b w:val="0"/>
          <w:i w:val="0"/>
          <w:sz w:val="28"/>
        </w:rPr>
        <w:t>Frente a ello, la autoridad sostuvo que la deducción exigía el aviso de la ficha de trámite 72/ISR y, con él, la exhibición del plan de vuelo de cada viaje, de informes sellados presentados ante la autoridad aeronáutica y de bitácoras de vuelo. Ese razonamiento es lógicamente inválido por dos razones que conviene nombrar con precisión.</w:t>
      </w:r>
    </w:p>
    <w:p>
      <w:pPr>
        <w:spacing w:line="360" w:lineRule="auto"/>
        <w:jc w:val="both"/>
      </w:pPr>
      <w:r>
        <w:rPr>
          <w:rFonts w:ascii="Arial" w:hAnsi="Arial"/>
          <w:b w:val="0"/>
          <w:i w:val="0"/>
          <w:sz w:val="28"/>
        </w:rPr>
        <w:t>En primer lugar, incurre en la falacia de ambigüedad o equívoco, que se produce cuando en un mismo argumento se emplea una palabra en más de un sentido y se tratan como uno solo conceptos diferentes que comparten una expresión común.</w:t>
      </w:r>
      <w:r>
        <w:rPr>
          <w:rFonts w:ascii="Arial" w:hAnsi="Arial"/>
          <w:vertAlign w:val="superscript"/>
        </w:rPr>
        <w:t>5</w:t>
      </w:r>
      <w:r>
        <w:rPr>
          <w:rFonts w:ascii="Arial" w:hAnsi="Arial"/>
          <w:b w:val="0"/>
          <w:i w:val="0"/>
          <w:sz w:val="28"/>
        </w:rPr>
        <w:t xml:space="preserve"> La autoridad leyó la palabra </w:t>
      </w:r>
      <w:r>
        <w:rPr>
          <w:rFonts w:ascii="Arial" w:hAnsi="Arial"/>
          <w:b w:val="0"/>
          <w:i/>
          <w:sz w:val="28"/>
        </w:rPr>
        <w:t>“aviones”</w:t>
      </w:r>
      <w:r>
        <w:rPr>
          <w:rFonts w:ascii="Arial" w:hAnsi="Arial"/>
          <w:b w:val="0"/>
          <w:i w:val="0"/>
          <w:sz w:val="28"/>
        </w:rPr>
        <w:t xml:space="preserve"> de la rúbrica y del texto de la regla como si designara cualquier erogación relacionada con una aeronave, cuando en la regla ese vocablo sólo aparece como objeto de la expresión </w:t>
      </w:r>
      <w:r>
        <w:rPr>
          <w:rFonts w:ascii="Arial" w:hAnsi="Arial"/>
          <w:b w:val="0"/>
          <w:i/>
          <w:sz w:val="28"/>
        </w:rPr>
        <w:t>“inversiones en comedores, aviones y embarcaciones”</w:t>
      </w:r>
      <w:r>
        <w:rPr>
          <w:rFonts w:ascii="Arial" w:hAnsi="Arial"/>
          <w:b w:val="0"/>
          <w:i w:val="0"/>
          <w:sz w:val="28"/>
        </w:rPr>
        <w:t>.</w:t>
      </w:r>
    </w:p>
    <w:p>
      <w:pPr>
        <w:spacing w:line="360" w:lineRule="auto"/>
        <w:jc w:val="both"/>
      </w:pPr>
      <w:r>
        <w:rPr>
          <w:rFonts w:ascii="Arial" w:hAnsi="Arial"/>
          <w:b w:val="0"/>
          <w:i w:val="0"/>
          <w:sz w:val="28"/>
        </w:rPr>
        <w:t xml:space="preserve">El equívoco se advierte al reconstruir el razonamiento oficial: la regla exige aviso para ciertos supuestos relativos a </w:t>
      </w:r>
      <w:r>
        <w:rPr>
          <w:rFonts w:ascii="Arial" w:hAnsi="Arial"/>
          <w:b w:val="0"/>
          <w:i/>
          <w:sz w:val="28"/>
        </w:rPr>
        <w:t>“aviones”</w:t>
      </w:r>
      <w:r>
        <w:rPr>
          <w:rFonts w:ascii="Arial" w:hAnsi="Arial"/>
          <w:b w:val="0"/>
          <w:i w:val="0"/>
          <w:sz w:val="28"/>
        </w:rPr>
        <w:t>; la parte actora pagó por el uso de un avión; luego la parte actora debía presentar el aviso. La premisa mayor habla de inversiones y la menor de un gasto por uso o goce temporal; el término que las enlaza sólo coincide en la palabra, y la conclusión se desploma en cuanto se restituye a cada premisa su sentido propio.</w:t>
      </w:r>
    </w:p>
    <w:p>
      <w:pPr>
        <w:spacing w:line="360" w:lineRule="auto"/>
        <w:jc w:val="both"/>
      </w:pPr>
      <w:r>
        <w:rPr>
          <w:rFonts w:ascii="Arial" w:hAnsi="Arial"/>
          <w:b w:val="0"/>
          <w:i w:val="0"/>
          <w:sz w:val="28"/>
        </w:rPr>
        <w:t>En segundo lugar, el argumento constituye una falsa analogía, pues equipara dos supuestos que difieren en lo relevante y olvida las diferencias que impiden la conclusión.</w:t>
      </w:r>
      <w:r>
        <w:rPr>
          <w:rFonts w:ascii="Arial" w:hAnsi="Arial"/>
          <w:vertAlign w:val="superscript"/>
        </w:rPr>
        <w:t>6</w:t>
      </w:r>
      <w:r>
        <w:rPr>
          <w:rFonts w:ascii="Arial" w:hAnsi="Arial"/>
          <w:b w:val="0"/>
          <w:i w:val="0"/>
          <w:sz w:val="28"/>
        </w:rPr>
        <w:t xml:space="preserve"> La inversión en un avión y el pago por su uso o goce temporal comparten el objeto material, pero divergen en todo lo que importa para efectos fiscales: la naturaleza del desembolso, la mecánica de la deducción, la disposición que la regula y la condición a que la ley la sujeta.</w:t>
      </w:r>
    </w:p>
    <w:p>
      <w:pPr>
        <w:spacing w:line="360" w:lineRule="auto"/>
        <w:jc w:val="both"/>
      </w:pPr>
      <w:r>
        <w:rPr>
          <w:rFonts w:ascii="Arial" w:hAnsi="Arial"/>
          <w:b w:val="0"/>
          <w:i w:val="0"/>
          <w:sz w:val="28"/>
        </w:rPr>
        <w:t>La falsedad de la analogía se confirma con el contenido del propio aviso. Los documentos que la autoridad echó de menos, planes de vuelo foliados, informes sellados ante la autoridad aeronáutica y bitácoras de vuelo, son los que la ficha de trámite enumera para las inversiones en aviones, cuya deducción la regla condiciona a comprobar que el activo se utiliza por necesidades especiales de la actividad; exigirlos a quien sólo contrató un servicio de transportación o el uso temporal de una aeronave ajena, cuyo gasto la ley sujeta a otra condición, equipara lo que la ley distingue.</w:t>
      </w:r>
    </w:p>
    <w:p>
      <w:pPr>
        <w:spacing w:line="360" w:lineRule="auto"/>
        <w:jc w:val="both"/>
      </w:pPr>
      <w:r>
        <w:rPr>
          <w:rFonts w:ascii="Arial" w:hAnsi="Arial"/>
          <w:b w:val="0"/>
          <w:i w:val="0"/>
          <w:sz w:val="28"/>
        </w:rPr>
        <w:t>A ello se agrega que la autoridad invocó el artículo 60 del Reglamento de la Ley del Impuesto sobre la Renta como fuente del aviso, cuando ese precepto se refiere exclusivamente a los pagos por el uso o goce temporal de casas habitación. Fundó la negativa en una disposición que no comprende el supuesto y dejó de aplicar la que sí lo regula, el primer párrafo de la fracción XIII del artículo 28 de la ley, cuya única condición específica estaba cumplida.</w:t>
      </w:r>
    </w:p>
    <w:p>
      <w:pPr>
        <w:spacing w:line="360" w:lineRule="auto"/>
        <w:jc w:val="both"/>
      </w:pPr>
      <w:r>
        <w:rPr>
          <w:rFonts w:ascii="Arial" w:hAnsi="Arial"/>
          <w:b w:val="0"/>
          <w:i w:val="0"/>
          <w:sz w:val="28"/>
        </w:rPr>
        <w:t>La consecuencia sistémica de aceptar la postura oficial revela el error. Si el aviso de la regla alcanzara a todo pago relacionado con aeronaves, una disposición administrativa de carácter general, emitida para los efectos de preceptos reglamentarios referidos a casas habitación y a inversiones, añadiría al gasto un requisito que ni la ley ni su reglamento previeron, resultado que la aplicación estricta ordenada por el artículo 5 del Código Fiscal de la Federación impide admitir.</w:t>
      </w:r>
    </w:p>
    <w:p>
      <w:pPr>
        <w:spacing w:line="360" w:lineRule="auto"/>
        <w:jc w:val="both"/>
      </w:pPr>
      <w:r>
        <w:rPr>
          <w:rFonts w:ascii="Arial" w:hAnsi="Arial"/>
          <w:b w:val="0"/>
          <w:i w:val="0"/>
          <w:sz w:val="28"/>
        </w:rPr>
        <w:t>Finalmente, la autoridad no expuso ningún otro motivo para negar la devolución, pues, según consta en ambas resoluciones, no objetó la materialidad de la operación, la existencia del comprobante fiscal ni el entero del impuesto trasladado, y su objeción restante, la supuesta falta de concesión o permiso, quedó desvirtuada con el documento que obra en el expediente administrativo. Por ello, el Tribunal cuenta con los elementos que el artículo 50 de la Ley Federal de Procedimiento Contencioso Administrativo exige para constatar el derecho de la parte actora antes de condenar a la devolución de una cantidad.</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En suma, el pago por el uso o goce temporal de una aeronave es un gasto cuya deducibilidad la ley condiciona a que la aeronave cuente con concesión o permiso del Gobierno Federal para su explotación comercial; el aviso de la ficha de trámite 72/ISR corresponde a los pagos por el uso o goce temporal de casas habitación y a las inversiones en comedores, aviones y embarcaciones; y la autoridad, al exigirlo a un gasto ajeno a esos supuestos, negó la devolución con base en una disposición inaplicable.</w:t>
      </w:r>
    </w:p>
    <w:p>
      <w:pPr>
        <w:spacing w:line="360" w:lineRule="auto"/>
        <w:jc w:val="both"/>
      </w:pPr>
      <w:r>
        <w:rPr>
          <w:rFonts w:ascii="Arial" w:hAnsi="Arial"/>
          <w:b w:val="0"/>
          <w:i w:val="0"/>
          <w:sz w:val="28"/>
        </w:rPr>
        <w:t xml:space="preserve">Por lo expuesto, procede declarar fundado este concepto de impugnación y, con fundamento en los artículos 51, fracción IV, y 52, fracciones IV y V, inciso a), de la Ley Federal de Procedimiento Contencioso Administrativo, declarar la nulidad de la resolución impugnada y de la recurrida, reconocer el derecho subjetivo de la parte actora a la devolución de </w:t>
      </w:r>
      <w:r>
        <w:rPr>
          <w:rFonts w:ascii="Arial" w:hAnsi="Arial"/>
          <w:b/>
          <w:i w:val="0"/>
          <w:sz w:val="28"/>
        </w:rPr>
        <w:t>[MONTO NEGADO]</w:t>
      </w:r>
      <w:r>
        <w:rPr>
          <w:rFonts w:ascii="Arial" w:hAnsi="Arial"/>
          <w:b w:val="0"/>
          <w:i w:val="0"/>
          <w:sz w:val="28"/>
        </w:rPr>
        <w:t xml:space="preserve"> y condenar a la autoridad a efectuarla debidamente actualizada y con los intereses que procedan conforme a los artículos 22 y 22-A del Código Fiscal de la Federación.</w:t>
      </w:r>
    </w:p>
    <w:p>
      <w:pPr>
        <w:spacing w:line="360" w:lineRule="auto"/>
        <w:jc w:val="both"/>
      </w:pPr>
      <w:r>
        <w:rPr>
          <w:rFonts w:ascii="Arial" w:hAnsi="Arial"/>
          <w:b w:val="0"/>
          <w:i w:val="0"/>
          <w:sz w:val="28"/>
        </w:rPr>
        <w:t>Se solicita, además, que la sentencia precise los términos en que la autoridad debe cumplir, sin posibilidad de invocar motivos nuevos para volver a negar la devolución, pues el vicio es de fondo y el artículo 57, fracción I, inciso c), de la Ley Federal de Procedimiento Contencioso Administrativo impide a la autoridad dictar una nueva resolución sobre los mismos hechos, salvo que la sentencia le señale efectos que le permitan volver a dictar el acto.</w:t>
      </w:r>
    </w:p>
    <w:p>
      <w:pPr>
        <w:spacing w:line="360" w:lineRule="auto"/>
        <w:jc w:val="both"/>
      </w:pPr>
      <w:r>
        <w:rPr>
          <w:rFonts w:ascii="Arial" w:hAnsi="Arial"/>
          <w:b w:val="0"/>
          <w:i w:val="0"/>
          <w:sz w:val="28"/>
        </w:rPr>
        <w:t xml:space="preserve">El mismo inciso dispone que </w:t>
      </w:r>
      <w:r>
        <w:rPr>
          <w:rFonts w:ascii="Arial" w:hAnsi="Arial"/>
          <w:b w:val="0"/>
          <w:i/>
          <w:sz w:val="28"/>
        </w:rPr>
        <w:t>“En ningún caso el nuevo acto administrativo puede perjudicar más a la persona actora que la resolución anulada”</w:t>
      </w:r>
      <w:r>
        <w:rPr>
          <w:rFonts w:ascii="Arial" w:hAnsi="Arial"/>
          <w:b w:val="0"/>
          <w:i w:val="0"/>
          <w:sz w:val="28"/>
        </w:rPr>
        <w:t>, regla en la que descansa la llamada teoría del tiro único, conforme a la cual la autoridad que ya expuso sus motivos para negar la devolución no puede, al cumplir la sentencia, esgrimir otros nuevos para sostener la misma negativa.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151.</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FERRER MAC-GREGOR, op. cit.</w:t>
      </w:r>
      <w:r>
        <w:rPr>
          <w:rFonts w:ascii="Arial" w:hAnsi="Arial"/>
          <w:i w:val="0"/>
          <w:sz w:val="20"/>
        </w:rPr>
        <w:t>, p. 158.</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FERRER MAC-GREGOR, op. cit.</w:t>
      </w:r>
      <w:r>
        <w:rPr>
          <w:rFonts w:ascii="Arial" w:hAnsi="Arial"/>
          <w:i w:val="0"/>
          <w:sz w:val="20"/>
        </w:rPr>
        <w:t>, p. 152.</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TOLNAY, Iván C., </w:t>
      </w:r>
      <w:r>
        <w:rPr>
          <w:rFonts w:ascii="Arial" w:hAnsi="Arial"/>
          <w:i/>
          <w:sz w:val="20"/>
        </w:rPr>
        <w:t>Jerarquía de métodos de interpretación. Problemas y soluciones de la interpretación judicial contemporánea en países de tradición legislativa</w:t>
      </w:r>
      <w:r>
        <w:rPr>
          <w:rFonts w:ascii="Arial" w:hAnsi="Arial"/>
          <w:i w:val="0"/>
          <w:sz w:val="20"/>
        </w:rPr>
        <w:t>, Tirant lo Blanch, Valencia, 2022, p. 114.</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9.</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TOLNAY, Iván C., </w:t>
      </w:r>
      <w:r>
        <w:rPr>
          <w:rFonts w:ascii="Arial" w:hAnsi="Arial"/>
          <w:i/>
          <w:sz w:val="20"/>
        </w:rPr>
        <w:t>Jerarquía de métodos de interpretación. Problemas y soluciones de la interpretación judicial contemporánea en países de tradición legislativa</w:t>
      </w:r>
      <w:r>
        <w:rPr>
          <w:rFonts w:ascii="Arial" w:hAnsi="Arial"/>
          <w:i w:val="0"/>
          <w:sz w:val="20"/>
        </w:rPr>
        <w:t>, Tirant lo Blanch, Valencia, 2022.</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