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NUEVA NEGATIVA DE DEVOLUCIÓN SOBRE LOS MISMOS HECHOS YA DEPURADOS EN EL RECURSO DE REVOCACIÓN</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adáptalo a tu caso. Antes de escribir, reúne tres documentos y tenlos a la vista: la resolución que recayó a tu recurso de revocación, con especial atención al apartado de efectos; la nueva negativa de devolución que vas a impugnar, con su constancia de notificación; y el expediente administrativo o el acuse de las pruebas que se valoraron en el recurso.</w:t>
      </w:r>
    </w:p>
    <w:p>
      <w:pPr>
        <w:spacing w:line="360" w:lineRule="auto"/>
        <w:jc w:val="both"/>
      </w:pPr>
      <w:r>
        <w:rPr>
          <w:rFonts w:ascii="Arial" w:hAnsi="Arial"/>
          <w:b w:val="0"/>
          <w:i w:val="0"/>
          <w:sz w:val="24"/>
        </w:rPr>
        <w:t xml:space="preserve">Después haz la confrontación que sostiene todo el concepto: enlista las pruebas que la autoridad resolutora dijo haber valorado y compáralas con las que cita la nueva negativa. Si coinciden, tienes la premisa menor acreditada. Transcribe de manera literal el punto resolutivo y los efectos del recurso, y también el párrafo en que la nueva resolución dice haber hecho un </w:t>
      </w:r>
      <w:r>
        <w:rPr>
          <w:rFonts w:ascii="Arial" w:hAnsi="Arial"/>
          <w:b w:val="0"/>
          <w:i/>
          <w:sz w:val="24"/>
        </w:rPr>
        <w:t>“nuevo análisis”</w:t>
      </w:r>
      <w:r>
        <w:rPr>
          <w:rFonts w:ascii="Arial" w:hAnsi="Arial"/>
          <w:b w:val="0"/>
          <w:i w:val="0"/>
          <w:sz w:val="24"/>
        </w:rPr>
        <w:t>: el contraste entre ambos textos es la prueba del vicio.</w:t>
      </w:r>
    </w:p>
    <w:p>
      <w:pPr>
        <w:spacing w:line="360" w:lineRule="auto"/>
        <w:jc w:val="both"/>
      </w:pPr>
      <w:r>
        <w:rPr>
          <w:rFonts w:ascii="Arial" w:hAnsi="Arial"/>
          <w:b w:val="0"/>
          <w:i w:val="0"/>
          <w:sz w:val="24"/>
        </w:rPr>
        <w:t>Ofrece las constancias que acreditan el importe y el derecho, porque de ellas depende que la Sala pueda reconocer el derecho subjetivo y fijar efectos concretos de pago, en lugar de una nulidad que devuelva a la autoridad margen para volver a resolver. Por último, confirma la fracción del artículo 51 de la Ley Federal de Procedimiento Contencioso Administrativo que invocarás y presenta la demanda dentro del plazo legal.</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corresponda en tu demanda (PRIMERO, SEGUNDO…).</w:t>
      </w:r>
    </w:p>
    <w:p>
      <w:pPr>
        <w:spacing w:line="360" w:lineRule="auto"/>
        <w:jc w:val="both"/>
      </w:pPr>
      <w:r>
        <w:rPr>
          <w:rFonts w:ascii="Arial" w:hAnsi="Arial"/>
          <w:b/>
          <w:i w:val="0"/>
          <w:sz w:val="24"/>
        </w:rPr>
        <w:t>[SALA REGIONAL COMPETENTE]</w:t>
      </w:r>
      <w:r>
        <w:rPr>
          <w:rFonts w:ascii="Arial" w:hAnsi="Arial"/>
          <w:b w:val="0"/>
          <w:i w:val="0"/>
          <w:sz w:val="24"/>
        </w:rPr>
        <w:t>: la Sala Regional del Tribunal Federal de Justicia Administrativa ante la que presentas la demanda.</w:t>
      </w:r>
    </w:p>
    <w:p>
      <w:pPr>
        <w:spacing w:line="360" w:lineRule="auto"/>
        <w:jc w:val="both"/>
      </w:pPr>
      <w:r>
        <w:rPr>
          <w:rFonts w:ascii="Arial" w:hAnsi="Arial"/>
          <w:b/>
          <w:i w:val="0"/>
          <w:sz w:val="24"/>
        </w:rPr>
        <w:t>[NOMBRE DE LA PARTE ACTORA]</w:t>
      </w:r>
      <w:r>
        <w:rPr>
          <w:rFonts w:ascii="Arial" w:hAnsi="Arial"/>
          <w:b w:val="0"/>
          <w:i w:val="0"/>
          <w:sz w:val="24"/>
        </w:rPr>
        <w:t>: la persona física o moral que solicitó la devolución y promueve el juicio.</w:t>
      </w:r>
    </w:p>
    <w:p>
      <w:pPr>
        <w:spacing w:line="360" w:lineRule="auto"/>
        <w:jc w:val="both"/>
      </w:pPr>
      <w:r>
        <w:rPr>
          <w:rFonts w:ascii="Arial" w:hAnsi="Arial"/>
          <w:b/>
          <w:i w:val="0"/>
          <w:sz w:val="24"/>
        </w:rPr>
        <w:t>[AUTORIDAD DEMANDADA EMISORA DE LA NEGATIVA]</w:t>
      </w:r>
      <w:r>
        <w:rPr>
          <w:rFonts w:ascii="Arial" w:hAnsi="Arial"/>
          <w:b w:val="0"/>
          <w:i w:val="0"/>
          <w:sz w:val="24"/>
        </w:rPr>
        <w:t>: la unidad administrativa que emitió la nueva resolución que niega la devolución.</w:t>
      </w:r>
    </w:p>
    <w:p>
      <w:pPr>
        <w:spacing w:line="360" w:lineRule="auto"/>
        <w:jc w:val="both"/>
      </w:pPr>
      <w:r>
        <w:rPr>
          <w:rFonts w:ascii="Arial" w:hAnsi="Arial"/>
          <w:b/>
          <w:i w:val="0"/>
          <w:sz w:val="24"/>
        </w:rPr>
        <w:t>[OFICIO Y FECHA DE LA RESOLUCIÓN IMPUGNADA]</w:t>
      </w:r>
      <w:r>
        <w:rPr>
          <w:rFonts w:ascii="Arial" w:hAnsi="Arial"/>
          <w:b w:val="0"/>
          <w:i w:val="0"/>
          <w:sz w:val="24"/>
        </w:rPr>
        <w:t>: el número de oficio y la fecha exactos de esa nueva negativa.</w:t>
      </w:r>
    </w:p>
    <w:p>
      <w:pPr>
        <w:spacing w:line="360" w:lineRule="auto"/>
        <w:jc w:val="both"/>
      </w:pPr>
      <w:r>
        <w:rPr>
          <w:rFonts w:ascii="Arial" w:hAnsi="Arial"/>
          <w:b/>
          <w:i w:val="0"/>
          <w:sz w:val="24"/>
        </w:rPr>
        <w:t>[FECHA DE NOTIFICACIÓN DE LA RESOLUCIÓN IMPUGNADA]</w:t>
      </w:r>
      <w:r>
        <w:rPr>
          <w:rFonts w:ascii="Arial" w:hAnsi="Arial"/>
          <w:b w:val="0"/>
          <w:i w:val="0"/>
          <w:sz w:val="24"/>
        </w:rPr>
        <w:t>: la fecha que conste en la notificación, de la que depende la oportunidad.</w:t>
      </w:r>
    </w:p>
    <w:p>
      <w:pPr>
        <w:spacing w:line="360" w:lineRule="auto"/>
        <w:jc w:val="both"/>
      </w:pPr>
      <w:r>
        <w:rPr>
          <w:rFonts w:ascii="Arial" w:hAnsi="Arial"/>
          <w:b/>
          <w:i w:val="0"/>
          <w:sz w:val="24"/>
        </w:rPr>
        <w:t>[NÚMEROS DE CONTROL DE LAS SOLICITUDES DE DEVOLUCIÓN]</w:t>
      </w:r>
      <w:r>
        <w:rPr>
          <w:rFonts w:ascii="Arial" w:hAnsi="Arial"/>
          <w:b w:val="0"/>
          <w:i w:val="0"/>
          <w:sz w:val="24"/>
        </w:rPr>
        <w:t>: los números con que se registraron tus trámites.</w:t>
      </w:r>
    </w:p>
    <w:p>
      <w:pPr>
        <w:spacing w:line="360" w:lineRule="auto"/>
        <w:jc w:val="both"/>
      </w:pPr>
      <w:r>
        <w:rPr>
          <w:rFonts w:ascii="Arial" w:hAnsi="Arial"/>
          <w:b/>
          <w:i w:val="0"/>
          <w:sz w:val="24"/>
        </w:rPr>
        <w:t>[PERIODOS Y CONTRIBUCIÓN DEL SALDO A FAVOR]</w:t>
      </w:r>
      <w:r>
        <w:rPr>
          <w:rFonts w:ascii="Arial" w:hAnsi="Arial"/>
          <w:b w:val="0"/>
          <w:i w:val="0"/>
          <w:sz w:val="24"/>
        </w:rPr>
        <w:t>: la contribución y los periodos solicitados (por ejemplo, impuesto al valor agregado de determinados meses).</w:t>
      </w:r>
    </w:p>
    <w:p>
      <w:pPr>
        <w:spacing w:line="360" w:lineRule="auto"/>
        <w:jc w:val="both"/>
      </w:pPr>
      <w:r>
        <w:rPr>
          <w:rFonts w:ascii="Arial" w:hAnsi="Arial"/>
          <w:b/>
          <w:i w:val="0"/>
          <w:sz w:val="24"/>
        </w:rPr>
        <w:t>[MONTO DEL SALDO A FAVOR SOLICITADO]</w:t>
      </w:r>
      <w:r>
        <w:rPr>
          <w:rFonts w:ascii="Arial" w:hAnsi="Arial"/>
          <w:b w:val="0"/>
          <w:i w:val="0"/>
          <w:sz w:val="24"/>
        </w:rPr>
        <w:t>: la cantidad pedida en devolución, tal como aparece en la solicitud.</w:t>
      </w:r>
    </w:p>
    <w:p>
      <w:pPr>
        <w:spacing w:line="360" w:lineRule="auto"/>
        <w:jc w:val="both"/>
      </w:pPr>
      <w:r>
        <w:rPr>
          <w:rFonts w:ascii="Arial" w:hAnsi="Arial"/>
          <w:b/>
          <w:i w:val="0"/>
          <w:sz w:val="24"/>
        </w:rPr>
        <w:t>[NÚMERO Y FECHA DE LA RESOLUCIÓN DEL RECURSO DE REVOCACIÓN]</w:t>
      </w:r>
      <w:r>
        <w:rPr>
          <w:rFonts w:ascii="Arial" w:hAnsi="Arial"/>
          <w:b w:val="0"/>
          <w:i w:val="0"/>
          <w:sz w:val="24"/>
        </w:rPr>
        <w:t>: el número de recurso y el oficio y fecha con que se resolvió.</w:t>
      </w:r>
    </w:p>
    <w:p>
      <w:pPr>
        <w:spacing w:line="360" w:lineRule="auto"/>
        <w:jc w:val="both"/>
      </w:pPr>
      <w:r>
        <w:rPr>
          <w:rFonts w:ascii="Arial" w:hAnsi="Arial"/>
          <w:b/>
          <w:i w:val="0"/>
          <w:sz w:val="24"/>
        </w:rPr>
        <w:t>[MOTIVOS DE RECHAZO DE LA NEGATIVA ORIGINAL]</w:t>
      </w:r>
      <w:r>
        <w:rPr>
          <w:rFonts w:ascii="Arial" w:hAnsi="Arial"/>
          <w:b w:val="0"/>
          <w:i w:val="0"/>
          <w:sz w:val="24"/>
        </w:rPr>
        <w:t>: los motivos que la autoridad invocó la primera vez y que el recurso declaró desvirtuados.</w:t>
      </w:r>
    </w:p>
    <w:p>
      <w:pPr>
        <w:spacing w:line="360" w:lineRule="auto"/>
        <w:jc w:val="both"/>
      </w:pPr>
      <w:r>
        <w:rPr>
          <w:rFonts w:ascii="Arial" w:hAnsi="Arial"/>
          <w:b/>
          <w:i w:val="0"/>
          <w:sz w:val="24"/>
        </w:rPr>
        <w:t>[PRUEBAS VALORADAS EN EL RECURSO DE REVOCACIÓN]</w:t>
      </w:r>
      <w:r>
        <w:rPr>
          <w:rFonts w:ascii="Arial" w:hAnsi="Arial"/>
          <w:b w:val="0"/>
          <w:i w:val="0"/>
          <w:sz w:val="24"/>
        </w:rPr>
        <w:t>: la lista de documentales que la resolución del recurso dice haber analizado.</w:t>
      </w:r>
    </w:p>
    <w:p>
      <w:pPr>
        <w:spacing w:line="360" w:lineRule="auto"/>
        <w:jc w:val="both"/>
      </w:pPr>
      <w:r>
        <w:rPr>
          <w:rFonts w:ascii="Arial" w:hAnsi="Arial"/>
          <w:b/>
          <w:i w:val="0"/>
          <w:sz w:val="24"/>
        </w:rPr>
        <w:t>[TRANSCRIPCIÓN DEL PUNTO RESOLUTIVO Y DE LOS EFECTOS DEL RECURSO]</w:t>
      </w:r>
      <w:r>
        <w:rPr>
          <w:rFonts w:ascii="Arial" w:hAnsi="Arial"/>
          <w:b w:val="0"/>
          <w:i w:val="0"/>
          <w:sz w:val="24"/>
        </w:rPr>
        <w:t>: el texto literal de lo resuelto y de los efectos ordenados.</w:t>
      </w:r>
    </w:p>
    <w:p>
      <w:pPr>
        <w:spacing w:line="360" w:lineRule="auto"/>
        <w:jc w:val="both"/>
      </w:pPr>
      <w:r>
        <w:rPr>
          <w:rFonts w:ascii="Arial" w:hAnsi="Arial"/>
          <w:b/>
          <w:i w:val="0"/>
          <w:sz w:val="24"/>
        </w:rPr>
        <w:t>[TRANSCRIPCIÓN DE LA MOTIVACIÓN DE LA NUEVA NEGATIVA]</w:t>
      </w:r>
      <w:r>
        <w:rPr>
          <w:rFonts w:ascii="Arial" w:hAnsi="Arial"/>
          <w:b w:val="0"/>
          <w:i w:val="0"/>
          <w:sz w:val="24"/>
        </w:rPr>
        <w:t>: el pasaje literal en que la autoridad explica por qué vuelve a negar la devolución.</w:t>
      </w:r>
    </w:p>
    <w:p>
      <w:pPr>
        <w:spacing w:line="360" w:lineRule="auto"/>
        <w:jc w:val="both"/>
      </w:pPr>
      <w:r>
        <w:rPr>
          <w:rFonts w:ascii="Arial" w:hAnsi="Arial"/>
          <w:b/>
          <w:i w:val="0"/>
          <w:sz w:val="24"/>
        </w:rPr>
        <w:t>[FRACCIÓN APLICABLE DEL ARTÍCULO 51 DE LA LFPCA]</w:t>
      </w:r>
      <w:r>
        <w:rPr>
          <w:rFonts w:ascii="Arial" w:hAnsi="Arial"/>
          <w:b w:val="0"/>
          <w:i w:val="0"/>
          <w:sz w:val="24"/>
        </w:rPr>
        <w:t>: la fracción de ese artículo que invoques, verificada en el texto vigente de la ley.</w:t>
      </w:r>
    </w:p>
    <w:p/>
    <w:p>
      <w:pPr>
        <w:spacing w:line="360" w:lineRule="auto"/>
        <w:jc w:val="both"/>
      </w:pPr>
      <w:r>
        <w:rPr>
          <w:rFonts w:ascii="Arial" w:hAnsi="Arial"/>
          <w:b/>
          <w:sz w:val="28"/>
        </w:rPr>
        <w:t>[NÚMERO ORDINAL DEL CONCEPTO] CONCEPTO DE IMPUGNACIÓN. Ilegalidad de la resolución que, al cumplimentar lo resuelto en el recurso de revocación, vuelve a negar la devolución del saldo a favor con una nueva valoración de las mismas pruebas que la autoridad resolutora ya analizó y tuvo por suficientes, en contravención del artículo 133-A, inciso b), del Código Fiscal de la Federación, con la consecuente nulidad y reconocimiento del derecho subjetivo a la devolución.</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[OFICIO Y FECHA DE LA RESOLUCIÓN IMPUGNADA]</w:t>
      </w:r>
      <w:r>
        <w:rPr>
          <w:rFonts w:ascii="Arial" w:hAnsi="Arial"/>
          <w:b w:val="0"/>
          <w:i w:val="0"/>
          <w:sz w:val="28"/>
        </w:rPr>
        <w:t xml:space="preserve">, emitida por la </w:t>
      </w:r>
      <w:r>
        <w:rPr>
          <w:rFonts w:ascii="Arial" w:hAnsi="Arial"/>
          <w:b/>
          <w:i w:val="0"/>
          <w:sz w:val="28"/>
        </w:rPr>
        <w:t>[AUTORIDAD DEMANDADA EMISORA DE LA NEGATIVA]</w:t>
      </w:r>
      <w:r>
        <w:rPr>
          <w:rFonts w:ascii="Arial" w:hAnsi="Arial"/>
          <w:b w:val="0"/>
          <w:i w:val="0"/>
          <w:sz w:val="28"/>
        </w:rPr>
        <w:t xml:space="preserve">, es ilegal porque negó de nueva cuenta a la parte actora la devolución del saldo a favor por concepto de </w:t>
      </w:r>
      <w:r>
        <w:rPr>
          <w:rFonts w:ascii="Arial" w:hAnsi="Arial"/>
          <w:b/>
          <w:i w:val="0"/>
          <w:sz w:val="28"/>
        </w:rPr>
        <w:t>[PERIODOS Y CONTRIBUCIÓN DEL SALDO A FAVOR]</w:t>
      </w:r>
      <w:r>
        <w:rPr>
          <w:rFonts w:ascii="Arial" w:hAnsi="Arial"/>
          <w:b w:val="0"/>
          <w:i w:val="0"/>
          <w:sz w:val="28"/>
        </w:rPr>
        <w:t xml:space="preserve">, apoyándose en una nueva valoración de las mismas pruebas que la autoridad resolutora del recurso de revocación </w:t>
      </w:r>
      <w:r>
        <w:rPr>
          <w:rFonts w:ascii="Arial" w:hAnsi="Arial"/>
          <w:b/>
          <w:i w:val="0"/>
          <w:sz w:val="28"/>
        </w:rPr>
        <w:t>[NÚMERO Y FECHA DE LA RESOLUCIÓN DEL RECURSO DE REVOCACIÓN]</w:t>
      </w:r>
      <w:r>
        <w:rPr>
          <w:rFonts w:ascii="Arial" w:hAnsi="Arial"/>
          <w:b w:val="0"/>
          <w:i w:val="0"/>
          <w:sz w:val="28"/>
        </w:rPr>
        <w:t xml:space="preserve"> ya había analizado para declarar desvirtuados los motivos del rechazo.</w:t>
      </w:r>
    </w:p>
    <w:p>
      <w:pPr>
        <w:spacing w:line="360" w:lineRule="auto"/>
        <w:jc w:val="both"/>
      </w:pPr>
      <w:r>
        <w:rPr>
          <w:rFonts w:ascii="Arial" w:hAnsi="Arial"/>
          <w:b w:val="0"/>
          <w:i w:val="0"/>
          <w:sz w:val="28"/>
        </w:rPr>
        <w:t>La demostración descansa en una premisa normativa expresa. El artículo 133-A, inciso b), del Código Fiscal de la Federación dispone que, cuando la resolución impugnada está viciada en cuanto al fondo, la autoridad no podrá dictar una nueva resolución sobre los mismos hechos, salvo que la resolución del recurso le señale efectos que le permitan volver a dictar el acto, y que en ningún caso el nuevo acto puede perjudicar más a la parte actora que la resolución impugnada.</w:t>
      </w:r>
    </w:p>
    <w:p>
      <w:pPr>
        <w:spacing w:line="360" w:lineRule="auto"/>
        <w:jc w:val="both"/>
      </w:pPr>
      <w:r>
        <w:rPr>
          <w:rFonts w:ascii="Arial" w:hAnsi="Arial"/>
          <w:b w:val="0"/>
          <w:i w:val="0"/>
          <w:sz w:val="28"/>
        </w:rPr>
        <w:t xml:space="preserve">Se demostrará, además, que los efectos fijados al resolver el recurso de revocación no autorizaron una segunda valoración probatoria: la autoridad resolutora tuvo a la vista las documentales del expediente administrativo y las aportadas en el recurso, las valoró, declaró desvirtuados los motivos del rechazo y ordenó autorizar la totalidad de la devolución. Una cláusula condicional como </w:t>
      </w:r>
      <w:r>
        <w:rPr>
          <w:rFonts w:ascii="Arial" w:hAnsi="Arial"/>
          <w:b w:val="0"/>
          <w:i/>
          <w:sz w:val="28"/>
        </w:rPr>
        <w:t>“de ser el caso”</w:t>
      </w:r>
      <w:r>
        <w:rPr>
          <w:rFonts w:ascii="Arial" w:hAnsi="Arial"/>
          <w:b w:val="0"/>
          <w:i w:val="0"/>
          <w:sz w:val="28"/>
        </w:rPr>
        <w:t xml:space="preserve"> o </w:t>
      </w:r>
      <w:r>
        <w:rPr>
          <w:rFonts w:ascii="Arial" w:hAnsi="Arial"/>
          <w:b w:val="0"/>
          <w:i/>
          <w:sz w:val="28"/>
        </w:rPr>
        <w:t>“en caso de no existir otro motivo de rechazo”</w:t>
      </w:r>
      <w:r>
        <w:rPr>
          <w:rFonts w:ascii="Arial" w:hAnsi="Arial"/>
          <w:b w:val="0"/>
          <w:i w:val="0"/>
          <w:sz w:val="28"/>
        </w:rPr>
        <w:t xml:space="preserve"> no equivale a una licencia para revisar otra vez lo ya revisado.</w:t>
      </w:r>
    </w:p>
    <w:p>
      <w:pPr>
        <w:spacing w:line="360" w:lineRule="auto"/>
        <w:jc w:val="both"/>
      </w:pPr>
      <w:r>
        <w:rPr>
          <w:rFonts w:ascii="Arial" w:hAnsi="Arial"/>
          <w:b w:val="0"/>
          <w:i w:val="0"/>
          <w:sz w:val="28"/>
        </w:rPr>
        <w:t xml:space="preserve">Si la premisa se respeta, la conclusión es forzosa: la nueva negativa se dictó sobre los mismos hechos ya depurados en la instancia administrativa, con lo que se actualiza la causal de ilegalidad prevista en el artículo 51, </w:t>
      </w:r>
      <w:r>
        <w:rPr>
          <w:rFonts w:ascii="Arial" w:hAnsi="Arial"/>
          <w:b/>
          <w:i w:val="0"/>
          <w:sz w:val="28"/>
        </w:rPr>
        <w:t>[FRACCIÓN APLICABLE DEL ARTÍCULO 51 DE LA LFPCA]</w:t>
      </w:r>
      <w:r>
        <w:rPr>
          <w:rFonts w:ascii="Arial" w:hAnsi="Arial"/>
          <w:b w:val="0"/>
          <w:i w:val="0"/>
          <w:sz w:val="28"/>
        </w:rPr>
        <w:t>, de la Ley Federal de Procedimiento Contencioso Administrativo, y procede declarar su nulidad, reconocer el derecho subjetivo de la parte actora y condenar a la autoridad a autorizar la devolución solicitada, con su actualización e intereses, en términos del artículo 52, fracción V, inciso a), del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la contenida en el oficio </w:t>
      </w:r>
      <w:r>
        <w:rPr>
          <w:rFonts w:ascii="Arial" w:hAnsi="Arial"/>
          <w:b/>
          <w:i w:val="0"/>
          <w:sz w:val="28"/>
        </w:rPr>
        <w:t>[OFICIO Y FECHA DE LA RESOLUCIÓN IMPUGNADA]</w:t>
      </w:r>
      <w:r>
        <w:rPr>
          <w:rFonts w:ascii="Arial" w:hAnsi="Arial"/>
          <w:b w:val="0"/>
          <w:i w:val="0"/>
          <w:sz w:val="28"/>
        </w:rPr>
        <w:t xml:space="preserve">, emitida por la </w:t>
      </w:r>
      <w:r>
        <w:rPr>
          <w:rFonts w:ascii="Arial" w:hAnsi="Arial"/>
          <w:b/>
          <w:i w:val="0"/>
          <w:sz w:val="28"/>
        </w:rPr>
        <w:t>[AUTORIDAD DEMANDADA EMISORA DE LA NEGATIVA]</w:t>
      </w:r>
      <w:r>
        <w:rPr>
          <w:rFonts w:ascii="Arial" w:hAnsi="Arial"/>
          <w:b w:val="0"/>
          <w:i w:val="0"/>
          <w:sz w:val="28"/>
        </w:rPr>
        <w:t xml:space="preserve">, notificada a la parte actora el </w:t>
      </w:r>
      <w:r>
        <w:rPr>
          <w:rFonts w:ascii="Arial" w:hAnsi="Arial"/>
          <w:b/>
          <w:i w:val="0"/>
          <w:sz w:val="28"/>
        </w:rPr>
        <w:t>[FECHA DE NOTIFICACIÓN DE LA RESOLUCIÓN IMPUGNADA]</w:t>
      </w:r>
      <w:r>
        <w:rPr>
          <w:rFonts w:ascii="Arial" w:hAnsi="Arial"/>
          <w:b w:val="0"/>
          <w:i w:val="0"/>
          <w:sz w:val="28"/>
        </w:rPr>
        <w:t xml:space="preserve">, por la que se niegan las solicitudes de devolución de saldo a favor con números de control </w:t>
      </w:r>
      <w:r>
        <w:rPr>
          <w:rFonts w:ascii="Arial" w:hAnsi="Arial"/>
          <w:b/>
          <w:i w:val="0"/>
          <w:sz w:val="28"/>
        </w:rPr>
        <w:t>[NÚMEROS DE CONTROL DE LAS SOLICITUDES DE DEVOLUCIÓN]</w:t>
      </w:r>
      <w:r>
        <w:rPr>
          <w:rFonts w:ascii="Arial" w:hAnsi="Arial"/>
          <w:b w:val="0"/>
          <w:i w:val="0"/>
          <w:sz w:val="28"/>
        </w:rPr>
        <w:t>.</w:t>
      </w:r>
    </w:p>
    <w:p>
      <w:pPr>
        <w:spacing w:line="360" w:lineRule="auto"/>
        <w:jc w:val="both"/>
      </w:pPr>
      <w:r>
        <w:rPr>
          <w:rFonts w:ascii="Arial" w:hAnsi="Arial"/>
          <w:b w:val="0"/>
          <w:i w:val="0"/>
          <w:sz w:val="28"/>
        </w:rPr>
        <w:t xml:space="preserve">La demanda se presenta ante la </w:t>
      </w:r>
      <w:r>
        <w:rPr>
          <w:rFonts w:ascii="Arial" w:hAnsi="Arial"/>
          <w:b/>
          <w:i w:val="0"/>
          <w:sz w:val="28"/>
        </w:rPr>
        <w:t>[SALA REGIONAL COMPETENTE]</w:t>
      </w:r>
      <w:r>
        <w:rPr>
          <w:rFonts w:ascii="Arial" w:hAnsi="Arial"/>
          <w:b w:val="0"/>
          <w:i w:val="0"/>
          <w:sz w:val="28"/>
        </w:rPr>
        <w:t xml:space="preserve"> dentro del plazo de treinta días que el artículo 13, fracción I, de la Ley Federal de Procedimiento Contencioso Administrativo concede para promover el juicio, plazo que rige también en la vía sumaria conforme a su artículo 58-2, párrafo tercero.</w:t>
      </w:r>
    </w:p>
    <w:p>
      <w:pPr>
        <w:spacing w:line="360" w:lineRule="auto"/>
        <w:jc w:val="both"/>
      </w:pPr>
      <w:r>
        <w:rPr>
          <w:rFonts w:ascii="Arial" w:hAnsi="Arial"/>
          <w:b w:val="0"/>
          <w:i w:val="0"/>
          <w:sz w:val="28"/>
        </w:rPr>
        <w:t>Las normas cuya inobservancia se plantea son el artículo 133-A, inciso b), del Código Fiscal de la Federación, que acota lo que la autoridad puede hacer al cumplir una resolución recaída al recurso de revocación; el artículo 22 del propio Código, que impone a las autoridades fiscales la obligación de devolver las cantidades que procedan conforme a las leyes fiscales y de fundar y motivar las causas que sustentan la negativa parcial o total de la devolución; y el artículo 16, primer párrafo, de la Constitución Política de los Estados Unidos Mexicanos, que exige que todo acto de molestia funde y motive su causa legal.</w:t>
      </w:r>
    </w:p>
    <w:p>
      <w:pPr>
        <w:spacing w:line="360" w:lineRule="auto"/>
        <w:jc w:val="both"/>
      </w:pPr>
      <w:r>
        <w:rPr>
          <w:rFonts w:ascii="Arial" w:hAnsi="Arial"/>
          <w:b w:val="0"/>
          <w:i w:val="0"/>
          <w:sz w:val="28"/>
        </w:rPr>
        <w:t xml:space="preserve">El perjuicio es concreto y económico. La parte actora obtuvo en el recurso de revocación un pronunciamiento favorable de fondo sobre </w:t>
      </w:r>
      <w:r>
        <w:rPr>
          <w:rFonts w:ascii="Arial" w:hAnsi="Arial"/>
          <w:b/>
          <w:i w:val="0"/>
          <w:sz w:val="28"/>
        </w:rPr>
        <w:t>[MOTIVOS DE RECHAZO DE LA NEGATIVA ORIGINAL]</w:t>
      </w:r>
      <w:r>
        <w:rPr>
          <w:rFonts w:ascii="Arial" w:hAnsi="Arial"/>
          <w:b w:val="0"/>
          <w:i w:val="0"/>
          <w:sz w:val="28"/>
        </w:rPr>
        <w:t xml:space="preserve">, y en lugar de recibir la devolución de </w:t>
      </w:r>
      <w:r>
        <w:rPr>
          <w:rFonts w:ascii="Arial" w:hAnsi="Arial"/>
          <w:b/>
          <w:i w:val="0"/>
          <w:sz w:val="28"/>
        </w:rPr>
        <w:t>[MONTO DEL SALDO A FAVOR SOLICITADO]</w:t>
      </w:r>
      <w:r>
        <w:rPr>
          <w:rFonts w:ascii="Arial" w:hAnsi="Arial"/>
          <w:b w:val="0"/>
          <w:i w:val="0"/>
          <w:sz w:val="28"/>
        </w:rPr>
        <w:t xml:space="preserve"> recibió una segunda negativa construida con la misma materia probatoria. El efecto práctico de convalidarla sería dejar el derecho a la devolución sujeto a tantas negativas sucesivas como razones quiera ensayar la autoridad, cada una con su propio medio de defensa a cargo del contribuyente.</w:t>
      </w:r>
    </w:p>
    <w:p>
      <w:pPr>
        <w:spacing w:line="360" w:lineRule="auto"/>
        <w:jc w:val="both"/>
      </w:pPr>
      <w:r>
        <w:rPr>
          <w:rFonts w:ascii="Arial" w:hAnsi="Arial"/>
          <w:b w:val="0"/>
          <w:i w:val="0"/>
          <w:sz w:val="28"/>
        </w:rPr>
        <w:t>La pretensión es, por ello, doble: la nulidad de la resolución impugnada y el reconocimiento del derecho subjetivo a la devolución, con la condena correlativa a autorizarla en su totalidad, más la actualización y los intereses que previenen los artículos 17-A, 22 y 22-A del Código Fiscal de la Federación. Se solicita el estudio preferente de este concepto, porque es el que otorga mayor beneficio: de prosperar, releva a la parte actora de seguir discutiendo la materialidad de operaciones que ya fue objeto de un pronunciamiento firme en sede administrativa.</w:t>
      </w:r>
    </w:p>
    <w:p>
      <w:pPr>
        <w:spacing w:line="360" w:lineRule="auto"/>
        <w:jc w:val="both"/>
      </w:pPr>
      <w:r>
        <w:rPr>
          <w:rFonts w:ascii="Arial" w:hAnsi="Arial"/>
          <w:b/>
          <w:sz w:val="28"/>
        </w:rPr>
        <w:t>III. Desarrollo normativo y doctrinal. Premisa mayor.</w:t>
      </w:r>
    </w:p>
    <w:p>
      <w:pPr>
        <w:spacing w:line="360" w:lineRule="auto"/>
        <w:jc w:val="both"/>
      </w:pPr>
      <w:r>
        <w:rPr>
          <w:rFonts w:ascii="Arial" w:hAnsi="Arial"/>
          <w:b w:val="0"/>
          <w:i w:val="0"/>
          <w:sz w:val="28"/>
        </w:rPr>
        <w:t xml:space="preserve">Conviene partir del deber de motivación que pesa sobre todo acto de molestia. La doctrina precisa que la exigencia constitucional consiste en que, en la constancia documental de la decisión, se expresen con claridad las normas, razones, motivos y demás justificaciones que la ocasionan, de modo que se manifieste a la persona perjudicada la </w:t>
      </w:r>
      <w:r>
        <w:rPr>
          <w:rFonts w:ascii="Arial" w:hAnsi="Arial"/>
          <w:b w:val="0"/>
          <w:i/>
          <w:sz w:val="28"/>
        </w:rPr>
        <w:t>“causa legal”</w:t>
      </w:r>
      <w:r>
        <w:rPr>
          <w:rFonts w:ascii="Arial" w:hAnsi="Arial"/>
          <w:b w:val="0"/>
          <w:i w:val="0"/>
          <w:sz w:val="28"/>
        </w:rPr>
        <w:t xml:space="preserve"> de la decisión de la autoridad.</w:t>
      </w:r>
      <w:r>
        <w:rPr>
          <w:rFonts w:ascii="Arial" w:hAnsi="Arial"/>
          <w:vertAlign w:val="superscript"/>
        </w:rPr>
        <w:t>1</w:t>
      </w:r>
      <w:r>
        <w:rPr>
          <w:rFonts w:ascii="Arial" w:hAnsi="Arial"/>
          <w:b w:val="0"/>
          <w:i w:val="0"/>
          <w:sz w:val="28"/>
        </w:rPr>
        <w:t xml:space="preserve"> Esa causa legal no es una fórmula ornamental: es el objeto del control jurisdiccional posterior, y por eso la autoridad queda atada a las razones que expresó y no a las que pudo haber expresado.</w:t>
      </w:r>
    </w:p>
    <w:p>
      <w:pPr>
        <w:spacing w:line="360" w:lineRule="auto"/>
        <w:jc w:val="both"/>
      </w:pPr>
      <w:r>
        <w:rPr>
          <w:rFonts w:ascii="Arial" w:hAnsi="Arial"/>
          <w:b w:val="0"/>
          <w:i w:val="0"/>
          <w:sz w:val="28"/>
        </w:rPr>
        <w:t>Conviene distinguir, por lo mismo, las dos maneras en que ese mandato se vulnera: por la falta de fundamentación y motivación, cuando el acto no expresa el precepto aplicable ni las razones que lo sustentan, y por su incorrección, cuando se invocan preceptos inaplicables o se razona mal la adecuación de los hechos a la norma. El vicio que aquí se plantea pertenece a la segunda especie y tiene además un componente temporal: la autoridad razonó sobre una materia que ya no le estaba abierta, de modo que el defecto no está en el silencio, sino en el contenido de lo que dijo.</w:t>
      </w:r>
    </w:p>
    <w:p>
      <w:pPr>
        <w:spacing w:line="360" w:lineRule="auto"/>
        <w:jc w:val="both"/>
      </w:pPr>
      <w:r>
        <w:rPr>
          <w:rFonts w:ascii="Arial" w:hAnsi="Arial"/>
          <w:b w:val="0"/>
          <w:i w:val="0"/>
          <w:sz w:val="28"/>
        </w:rPr>
        <w:t>El recurso de revocación existe precisamente para cerrar esa materia. Su diseño concede al contribuyente la oportunidad de aportar las pruebas que no exhibió ante la autoridad fiscalizadora, y correlativamente obliga a la autoridad resolutora a admitirlas, desahogarlas y valorarlas; cuando lo hace y concluye que los motivos del rechazo quedaron desvirtuados, resuelve el fondo. Ese pronunciamiento no es una etapa más del trámite de devolución: es la decisión administrativa que depura el acto y fija el punto de partida de lo que puede hacerse después.</w:t>
      </w:r>
    </w:p>
    <w:p>
      <w:pPr>
        <w:spacing w:line="360" w:lineRule="auto"/>
        <w:jc w:val="both"/>
      </w:pPr>
      <w:r>
        <w:rPr>
          <w:rFonts w:ascii="Arial" w:hAnsi="Arial"/>
          <w:b w:val="0"/>
          <w:i w:val="0"/>
          <w:sz w:val="28"/>
        </w:rPr>
        <w:t>La doctrina procesal ofrece el nombre técnico de esa cualidad. La cosa juzgada pone un límite a la discusión jurídica, y en ella suelen distinguirse dos sentidos: uno formal, que es la cualidad de ser inimpugnable que el ordenamiento atribuye a una resolución y que con mejor técnica se llama firmeza, y uno material, para el que se reserva la expresión cosa juzgada.</w:t>
      </w:r>
      <w:r>
        <w:rPr>
          <w:rFonts w:ascii="Arial" w:hAnsi="Arial"/>
          <w:vertAlign w:val="superscript"/>
        </w:rPr>
        <w:t>2</w:t>
      </w:r>
      <w:r>
        <w:rPr>
          <w:rFonts w:ascii="Arial" w:hAnsi="Arial"/>
          <w:b w:val="0"/>
          <w:i w:val="0"/>
          <w:sz w:val="28"/>
        </w:rPr>
        <w:t xml:space="preserve"> Trasladada con reservas al procedimiento administrativo, esa distinción explica por qué la autoridad fiscalizadora no puede reabrir la valoración probatoria que la resolutora del recurso ya agotó al pronunciarse sobre el fondo.</w:t>
      </w:r>
    </w:p>
    <w:p>
      <w:pPr>
        <w:spacing w:line="360" w:lineRule="auto"/>
        <w:jc w:val="both"/>
      </w:pPr>
      <w:r>
        <w:rPr>
          <w:rFonts w:ascii="Arial" w:hAnsi="Arial"/>
          <w:b w:val="0"/>
          <w:i w:val="0"/>
          <w:sz w:val="28"/>
        </w:rPr>
        <w:t xml:space="preserve">El legislador no dejó ese límite a la construcción doctrinal. El artículo 133-A del Código Fiscal de la Federación regula el cumplimiento de las resoluciones dictadas en el recurso de revocación y, en su inciso b), establece que </w:t>
      </w:r>
      <w:r>
        <w:rPr>
          <w:rFonts w:ascii="Arial" w:hAnsi="Arial"/>
          <w:b w:val="0"/>
          <w:i/>
          <w:sz w:val="28"/>
        </w:rPr>
        <w:t>“cuando la resolución impugnada esté viciada en cuanto al fondo, la autoridad no podrá dictar una nueva resolución sobre los mismos hechos, salvo que la resolución le señale efectos que le permitan volver a dictar el acto”</w:t>
      </w:r>
      <w:r>
        <w:rPr>
          <w:rFonts w:ascii="Arial" w:hAnsi="Arial"/>
          <w:b w:val="0"/>
          <w:i w:val="0"/>
          <w:sz w:val="28"/>
        </w:rPr>
        <w:t>, con la prohibición añadida de que el nuevo acto perjudique más a la parte actora y con un límite temporal para emitirlo.</w:t>
      </w:r>
    </w:p>
    <w:p>
      <w:pPr>
        <w:spacing w:line="360" w:lineRule="auto"/>
        <w:jc w:val="both"/>
      </w:pPr>
      <w:r>
        <w:rPr>
          <w:rFonts w:ascii="Arial" w:hAnsi="Arial"/>
          <w:b w:val="0"/>
          <w:i w:val="0"/>
          <w:sz w:val="28"/>
        </w:rPr>
        <w:t>La norma se articula, pues, en una regla y una excepción. La regla prohíbe el nuevo acto sobre los mismos hechos; la excepción sólo opera cuando la resolución del recurso señala efectos que autoricen volver a dictarlo. Corresponde entonces determinar el alcance real de esos efectos, y ésa es una operación de interpretación, no de lectura literal de una frase aislada. El criterio sistemático consiste justamente en atribuir a una disposición el significado sugerido, o al menos no impedido, por el contexto del que forma parte, porque el conjunto se presume coherente y ordenado.</w:t>
      </w:r>
      <w:r>
        <w:rPr>
          <w:rFonts w:ascii="Arial" w:hAnsi="Arial"/>
          <w:vertAlign w:val="superscript"/>
        </w:rPr>
        <w:t>3</w:t>
      </w:r>
    </w:p>
    <w:p>
      <w:pPr>
        <w:spacing w:line="360" w:lineRule="auto"/>
        <w:jc w:val="both"/>
      </w:pPr>
      <w:r>
        <w:rPr>
          <w:rFonts w:ascii="Arial" w:hAnsi="Arial"/>
          <w:b w:val="0"/>
          <w:i w:val="0"/>
          <w:sz w:val="28"/>
        </w:rPr>
        <w:t>Aplicado a los efectos de una resolución administrativa, ese criterio impone leerlos junto con las consideraciones que los sostienen. Si la autoridad resolutora enumeró las pruebas, las valoró, afirmó que los motivos del rechazo quedaron desvirtuados y ordenó autorizar la totalidad de la devolución con actualización e intereses, el sentido de la orden es el pago, no una nueva revisión. Las cláusulas condicionales que suelen acompañarla operan para circunstancias distintas y sobrevenidas, no para reexaminar el mismo material probatorio con el mismo resultado desfavorable.</w:t>
      </w:r>
    </w:p>
    <w:p>
      <w:pPr>
        <w:spacing w:line="360" w:lineRule="auto"/>
        <w:jc w:val="both"/>
      </w:pPr>
      <w:r>
        <w:rPr>
          <w:rFonts w:ascii="Arial" w:hAnsi="Arial"/>
          <w:b w:val="0"/>
          <w:i w:val="0"/>
          <w:sz w:val="28"/>
        </w:rPr>
        <w:t>Cierra el sistema el principio de seguridad jurídica, expresión a la que se han atribuido significados muy diversos y entre los cuales figura, en primer lugar, la posibilidad de conocer ex ante las consecuencias jurídicas de los propios comportamientos.</w:t>
      </w:r>
      <w:r>
        <w:rPr>
          <w:rFonts w:ascii="Arial" w:hAnsi="Arial"/>
          <w:vertAlign w:val="superscript"/>
        </w:rPr>
        <w:t>4</w:t>
      </w:r>
      <w:r>
        <w:rPr>
          <w:rFonts w:ascii="Arial" w:hAnsi="Arial"/>
          <w:b w:val="0"/>
          <w:i w:val="0"/>
          <w:sz w:val="28"/>
        </w:rPr>
        <w:t xml:space="preserve"> Un modelo en el que cada resolución favorable en el recurso puede ser neutralizada con una nueva negativa sobre los mismos hechos vuelve imprevisible el resultado del procedimiento y traslada al particular el costo de la indecisión administrativa, que es exactamente lo que el artículo 133-A quiso evitar.</w:t>
      </w:r>
    </w:p>
    <w:p>
      <w:pPr>
        <w:spacing w:line="360" w:lineRule="auto"/>
        <w:jc w:val="both"/>
      </w:pPr>
      <w:r>
        <w:rPr>
          <w:rFonts w:ascii="Arial" w:hAnsi="Arial"/>
          <w:b w:val="0"/>
          <w:i w:val="0"/>
          <w:sz w:val="28"/>
        </w:rPr>
        <w:t>Por último, la consecuencia procesal. Declarada la ilegalidad del acto que resuelve una solicitud de devolución, este Tribunal no queda constreñido a anular: el artículo 52, fracción V, inciso a), de la Ley Federal de Procedimiento Contencioso Administrativo lo faculta a reconocer la existencia del derecho subjetivo de la parte actora y a imprimir a la nulidad efectos que hagan efectivo el pago. La ley exige, eso sí, que ese derecho quede fehacientemente constatado, como resulta del quinto párrafo de su artículo 50; de ahí que con esta demanda se ofrezcan las constancias que lo acreditan.</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sin esfuerzo en la premisa anterior. Al resolver el recurso de revocación </w:t>
      </w:r>
      <w:r>
        <w:rPr>
          <w:rFonts w:ascii="Arial" w:hAnsi="Arial"/>
          <w:b/>
          <w:i w:val="0"/>
          <w:sz w:val="28"/>
        </w:rPr>
        <w:t>[NÚMERO Y FECHA DE LA RESOLUCIÓN DEL RECURSO DE REVOCACIÓN]</w:t>
      </w:r>
      <w:r>
        <w:rPr>
          <w:rFonts w:ascii="Arial" w:hAnsi="Arial"/>
          <w:b w:val="0"/>
          <w:i w:val="0"/>
          <w:sz w:val="28"/>
        </w:rPr>
        <w:t xml:space="preserve">, la autoridad resolutora tuvo a la vista y valoró </w:t>
      </w:r>
      <w:r>
        <w:rPr>
          <w:rFonts w:ascii="Arial" w:hAnsi="Arial"/>
          <w:b/>
          <w:i w:val="0"/>
          <w:sz w:val="28"/>
        </w:rPr>
        <w:t>[PRUEBAS VALORADAS EN EL RECURSO DE REVOCACIÓN]</w:t>
      </w:r>
      <w:r>
        <w:rPr>
          <w:rFonts w:ascii="Arial" w:hAnsi="Arial"/>
          <w:b w:val="0"/>
          <w:i w:val="0"/>
          <w:sz w:val="28"/>
        </w:rPr>
        <w:t xml:space="preserve">, y con base en ellas determinó que quedaron desvirtuados los motivos que sustentaron la negativa, ordenando autorizar la totalidad de la devolución en los términos siguientes: </w:t>
      </w:r>
      <w:r>
        <w:rPr>
          <w:rFonts w:ascii="Arial" w:hAnsi="Arial"/>
          <w:b w:val="0"/>
          <w:i/>
          <w:sz w:val="28"/>
        </w:rPr>
        <w:t>“[TRANSCRIPCIÓN DEL PUNTO RESOLUTIVO Y DE LOS EFECTOS DEL RECURSO]”</w:t>
      </w:r>
      <w:r>
        <w:rPr>
          <w:rFonts w:ascii="Arial" w:hAnsi="Arial"/>
          <w:b w:val="0"/>
          <w:i w:val="0"/>
          <w:sz w:val="28"/>
        </w:rPr>
        <w:t>.</w:t>
      </w:r>
    </w:p>
    <w:p>
      <w:pPr>
        <w:spacing w:line="360" w:lineRule="auto"/>
        <w:jc w:val="both"/>
      </w:pPr>
      <w:r>
        <w:rPr>
          <w:rFonts w:ascii="Arial" w:hAnsi="Arial"/>
          <w:b w:val="0"/>
          <w:i w:val="0"/>
          <w:sz w:val="28"/>
        </w:rPr>
        <w:t xml:space="preserve">Pese a ello, la autoridad demandada emitió la resolución impugnada y volvió a negar la devolución con este razonamiento: </w:t>
      </w:r>
      <w:r>
        <w:rPr>
          <w:rFonts w:ascii="Arial" w:hAnsi="Arial"/>
          <w:b w:val="0"/>
          <w:i/>
          <w:sz w:val="28"/>
        </w:rPr>
        <w:t>“[TRANSCRIPCIÓN DE LA MOTIVACIÓN DE LA NUEVA NEGATIVA]”</w:t>
      </w:r>
      <w:r>
        <w:rPr>
          <w:rFonts w:ascii="Arial" w:hAnsi="Arial"/>
          <w:b w:val="0"/>
          <w:i w:val="0"/>
          <w:sz w:val="28"/>
        </w:rPr>
        <w:t xml:space="preserve">. La confrontación de ambos documentos revela que no hay hecho nuevo ni prueba nueva: se trata del mismo acervo documental, del mismo periodo y de la misma objeción de fondo, presentados ahora como resultado de un </w:t>
      </w:r>
      <w:r>
        <w:rPr>
          <w:rFonts w:ascii="Arial" w:hAnsi="Arial"/>
          <w:b w:val="0"/>
          <w:i/>
          <w:sz w:val="28"/>
        </w:rPr>
        <w:t>“nuevo análisis”</w:t>
      </w:r>
      <w:r>
        <w:rPr>
          <w:rFonts w:ascii="Arial" w:hAnsi="Arial"/>
          <w:b w:val="0"/>
          <w:i w:val="0"/>
          <w:sz w:val="28"/>
        </w:rPr>
        <w:t>. La subsunción es directa: hubo una nueva resolución sobre los mismos hechos, sin efectos que la autorizaran, lo que el artículo 133-A, inciso b), del Código Fiscal de la Federación prohíbe.</w:t>
      </w:r>
    </w:p>
    <w:p>
      <w:pPr>
        <w:spacing w:line="360" w:lineRule="auto"/>
        <w:jc w:val="both"/>
      </w:pPr>
      <w:r>
        <w:rPr>
          <w:rFonts w:ascii="Arial" w:hAnsi="Arial"/>
          <w:b w:val="0"/>
          <w:i w:val="0"/>
          <w:sz w:val="28"/>
        </w:rPr>
        <w:t>El razonamiento de la autoridad es, además, lógicamente inválido, y conviene nombrar el error. Su argumento central se apoya en la frase condicional de la resolución del recurso para concluir que quedó habilitada a valorar otra vez las pruebas. Eso es una falacia de ambigüedad, del equívoco o de anfibología, que se produce cuando en un mismo argumento se emplean palabras o frases en más de un sentido.</w:t>
      </w:r>
      <w:r>
        <w:rPr>
          <w:rFonts w:ascii="Arial" w:hAnsi="Arial"/>
          <w:vertAlign w:val="superscript"/>
        </w:rPr>
        <w:t>5</w:t>
      </w:r>
      <w:r>
        <w:rPr>
          <w:rFonts w:ascii="Arial" w:hAnsi="Arial"/>
          <w:b w:val="0"/>
          <w:i w:val="0"/>
          <w:sz w:val="28"/>
        </w:rPr>
        <w:t xml:space="preserve"> La expresión que condiciona el pago a la inexistencia de circunstancias nuevas se usa en la conclusión con el sentido de una autorización general para reabrir el fondo.</w:t>
      </w:r>
    </w:p>
    <w:p>
      <w:pPr>
        <w:spacing w:line="360" w:lineRule="auto"/>
        <w:jc w:val="both"/>
      </w:pPr>
      <w:r>
        <w:rPr>
          <w:rFonts w:ascii="Arial" w:hAnsi="Arial"/>
          <w:b w:val="0"/>
          <w:i w:val="0"/>
          <w:sz w:val="28"/>
        </w:rPr>
        <w:t xml:space="preserve">Basta explicitar la estructura para ver el salto. De la premisa </w:t>
      </w:r>
      <w:r>
        <w:rPr>
          <w:rFonts w:ascii="Arial" w:hAnsi="Arial"/>
          <w:b w:val="0"/>
          <w:i/>
          <w:sz w:val="28"/>
        </w:rPr>
        <w:t>“la autoridad debe autorizar la devolución si no existe otro motivo de rechazo”</w:t>
      </w:r>
      <w:r>
        <w:rPr>
          <w:rFonts w:ascii="Arial" w:hAnsi="Arial"/>
          <w:b w:val="0"/>
          <w:i w:val="0"/>
          <w:sz w:val="28"/>
        </w:rPr>
        <w:t xml:space="preserve"> no se sigue </w:t>
      </w:r>
      <w:r>
        <w:rPr>
          <w:rFonts w:ascii="Arial" w:hAnsi="Arial"/>
          <w:b w:val="0"/>
          <w:i/>
          <w:sz w:val="28"/>
        </w:rPr>
        <w:t>“la autoridad puede volver a valorar las pruebas ya valoradas hasta encontrar un motivo de rechazo”</w:t>
      </w:r>
      <w:r>
        <w:rPr>
          <w:rFonts w:ascii="Arial" w:hAnsi="Arial"/>
          <w:b w:val="0"/>
          <w:i w:val="0"/>
          <w:sz w:val="28"/>
        </w:rPr>
        <w:t>. La primera proposición supone un motivo distinto y externo al ya depurado; la segunda convierte la condición en su contrario, pues autoriza a reproducir el motivo que se declaró desvirtuado. El razonamiento correcto era verificar si existía alguna circunstancia ajena a lo resuelto y, al no haberla, autorizar la devolución.</w:t>
      </w:r>
    </w:p>
    <w:p>
      <w:pPr>
        <w:spacing w:line="360" w:lineRule="auto"/>
        <w:jc w:val="both"/>
      </w:pPr>
      <w:r>
        <w:rPr>
          <w:rFonts w:ascii="Arial" w:hAnsi="Arial"/>
          <w:b w:val="0"/>
          <w:i w:val="0"/>
          <w:sz w:val="28"/>
        </w:rPr>
        <w:t>Hay un segundo vicio lógico. Al sostener que su nueva negativa es legal porque estaba facultada para volver a valorar, la autoridad da por demostrado el punto que debía demostrar: precisamente si contaba con esa facultad. Se trata de una petición de principio, que consiste en incluir en las premisas, de manera explícita o implícita, aquello que se trata de probar, con lo que el razonamiento aparenta demostrar sin demostrar nada.</w:t>
      </w:r>
      <w:r>
        <w:rPr>
          <w:rFonts w:ascii="Arial" w:hAnsi="Arial"/>
          <w:vertAlign w:val="superscript"/>
        </w:rPr>
        <w:t>6</w:t>
      </w:r>
      <w:r>
        <w:rPr>
          <w:rFonts w:ascii="Arial" w:hAnsi="Arial"/>
          <w:b w:val="0"/>
          <w:i w:val="0"/>
          <w:sz w:val="28"/>
        </w:rPr>
        <w:t xml:space="preserve"> Quien invoca la excepción de una regla prohibitiva tiene la carga de acreditar que los efectos de la resolución se la concedieron, y esa carga no se satisface afirmándolo.</w:t>
      </w:r>
    </w:p>
    <w:p>
      <w:pPr>
        <w:spacing w:line="360" w:lineRule="auto"/>
        <w:jc w:val="both"/>
      </w:pPr>
      <w:r>
        <w:rPr>
          <w:rFonts w:ascii="Arial" w:hAnsi="Arial"/>
          <w:b w:val="0"/>
          <w:i w:val="0"/>
          <w:sz w:val="28"/>
        </w:rPr>
        <w:t>La consecuencia sistémica confirma el error. Si la autoridad pudiera señalar, en cada ocasión en que la instancia revisora declara ilegal su negativa, una razón distinta para insistir en el rechazo, el particular tendría que agotar los medios de defensa tantas veces como motivos se le ocurran a la administración, y el derecho a la devolución quedaría en suspenso indefinido. Como lo ha reconocido la Sala en casos análogos, ese resultado es incompatible con el mandato de fundar y motivar la negativa y con la función que el recurso de revocación cumple dentro del sistema.</w:t>
      </w:r>
    </w:p>
    <w:p>
      <w:pPr>
        <w:spacing w:line="360" w:lineRule="auto"/>
        <w:jc w:val="both"/>
      </w:pPr>
      <w:r>
        <w:rPr>
          <w:rFonts w:ascii="Arial" w:hAnsi="Arial"/>
          <w:b w:val="0"/>
          <w:i w:val="0"/>
          <w:sz w:val="28"/>
        </w:rPr>
        <w:t>No obsta que la autoridad invoque sus facultades de comprobación. El artículo 22 del Código Fiscal de la Federación le permite requerir datos, informes o documentos adicionales, e incluso ejercer facultades de comprobación con el contribuyente o con terceros, para verificar la procedencia de la devolución; pero esas herramientas debieron desplegarse en el procedimiento de origen, antes de la primera negativa, y no después de que la instancia revisora declaró desvirtuados sus motivos. La oportunidad de allegarse elementos precluyó con el pronunciamiento de fondo que la propia administración emitió.</w:t>
      </w:r>
    </w:p>
    <w:p>
      <w:pPr>
        <w:spacing w:line="360" w:lineRule="auto"/>
        <w:jc w:val="both"/>
      </w:pPr>
      <w:r>
        <w:rPr>
          <w:rFonts w:ascii="Arial" w:hAnsi="Arial"/>
          <w:b w:val="0"/>
          <w:i w:val="0"/>
          <w:sz w:val="28"/>
        </w:rPr>
        <w:t>Tampoco obsta que la resolución del recurso dejara a salvo el derecho de la autoridad a verificar la procedencia de la devolución conforme al Código Fiscal de la Federación. Una cosa es que la devolución no constituya resolución favorable definitiva y queden a salvo las facultades de comprobación para el futuro, y otra que la misma autoridad pueda usar ese margen para negar hoy el pago con los mismos hechos que ya se depuraron. La distinción es esencial: lo que permanece abierto es la verificación posterior, no la reapertura del motivo de rechazo.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artículo 133-A, inciso b), del Código Fiscal de la Federación prohíbe a la autoridad dictar una nueva resolución sobre los mismos hechos cuando la resolución recurrida estaba viciada en cuanto al fondo, salvo que los efectos del recurso se lo permitan; los efectos fijados en el caso ordenaron autorizar la totalidad de la devolución y no autorizaron una segunda valoración probatoria; la resolución impugnada volvió a negar la devolución con el mismo material y por el mismo motivo; y esa conducta, además de contravenir el precepto, se sostiene en un equívoco y en una petición de principio.</w:t>
      </w:r>
    </w:p>
    <w:p>
      <w:pPr>
        <w:spacing w:line="360" w:lineRule="auto"/>
        <w:jc w:val="both"/>
      </w:pPr>
      <w:r>
        <w:rPr>
          <w:rFonts w:ascii="Arial" w:hAnsi="Arial"/>
          <w:b w:val="0"/>
          <w:i w:val="0"/>
          <w:sz w:val="28"/>
        </w:rPr>
        <w:t xml:space="preserve">Por lo expuesto y fundado, con apoyo en los artículos 133-A, inciso b), 22, 22-A y 17-A del Código Fiscal de la Federación, 16, primer párrafo, de la Constitución Política de los Estados Unidos Mexicanos, y 50, quinto párrafo, 51 y 52, fracción V, inciso a), de la Ley Federal de Procedimiento Contencioso Administrativo, procede declarar fundado este concepto, declarar la nulidad de la resolución impugnada, reconocer el derecho subjetivo de </w:t>
      </w:r>
      <w:r>
        <w:rPr>
          <w:rFonts w:ascii="Arial" w:hAnsi="Arial"/>
          <w:b/>
          <w:i w:val="0"/>
          <w:sz w:val="28"/>
        </w:rPr>
        <w:t>[NOMBRE DE LA PARTE ACTORA]</w:t>
      </w:r>
      <w:r>
        <w:rPr>
          <w:rFonts w:ascii="Arial" w:hAnsi="Arial"/>
          <w:b w:val="0"/>
          <w:i w:val="0"/>
          <w:sz w:val="28"/>
        </w:rPr>
        <w:t xml:space="preserve"> a la devolución del saldo a favor y condenar a la autoridad demandada a autorizarla en su totalidad, con actualización e intereses.</w:t>
      </w:r>
    </w:p>
    <w:p>
      <w:pPr>
        <w:spacing w:line="360" w:lineRule="auto"/>
        <w:jc w:val="both"/>
      </w:pPr>
      <w:r>
        <w:rPr>
          <w:rFonts w:ascii="Arial" w:hAnsi="Arial"/>
          <w:b w:val="0"/>
          <w:i w:val="0"/>
          <w:sz w:val="28"/>
        </w:rPr>
        <w:t>Se solicita que el estudio de este concepto sea preferente respecto de los que combaten la valoración de las pruebas en cuanto al fondo, pues su acogimiento otorga a la parte actora el mayor beneficio posible —el pago de lo solicitado— y hace innecesario reabrir una discusión probatoria que la propia administración ya resolvió en su favor. Para el caso de que esta Sala estime que no cuenta con todos los elementos para constatar el derecho, se solicita que la nulidad se decrete con los efectos que impidan a la autoridad reiterar los motivos ya declarados ilegales.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182.</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 p. 176.</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 p. 39.</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34.</w:t>
      </w:r>
    </w:p>
    <w:p/>
    <w:p>
      <w:r>
        <w:rPr>
          <w:rFonts w:ascii="Arial" w:hAnsi="Arial"/>
          <w:b/>
          <w:sz w:val="22"/>
        </w:rPr>
        <w:t>BIBLIOGRAFÍA</w:t>
      </w:r>
    </w:p>
    <w:p>
      <w:pPr>
        <w:spacing w:after="60"/>
        <w:ind w:left="360" w:hanging="360"/>
        <w:jc w:val="both"/>
      </w:pP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w:t>
      </w:r>
    </w:p>
    <w:p>
      <w:pPr>
        <w:spacing w:after="60"/>
        <w:ind w:left="360" w:hanging="360"/>
        <w:jc w:val="both"/>
      </w:pP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