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b/>
          <w:sz w:val="28"/>
        </w:rPr>
        <w:t>MACHOTE. DEMANDA DE NULIDAD TFJA. NEGATIVA FICTA DEL ISSSTE E INCREMENTO DE LA PENSIÓN</w:t>
      </w:r>
    </w:p>
    <w:p>
      <w:pPr>
        <w:jc w:val="center"/>
      </w:pPr>
      <w:r>
        <w:rPr>
          <w:rFonts w:ascii="Arial" w:hAnsi="Arial"/>
          <w:sz w:val="20"/>
        </w:rPr>
        <w:t>Machote gratuito de Academia de Amparo y Derecho — academiadeamparo.com</w:t>
      </w:r>
    </w:p>
    <w:p/>
    <w:p>
      <w:r>
        <w:rPr>
          <w:rFonts w:ascii="Arial" w:hAnsi="Arial"/>
          <w:b/>
          <w:sz w:val="24"/>
        </w:rPr>
        <w:t>CÓMO USAR ESTE MACHOTE</w:t>
      </w:r>
    </w:p>
    <w:p>
      <w:pPr>
        <w:spacing w:line="360" w:lineRule="auto"/>
        <w:jc w:val="both"/>
      </w:pPr>
      <w:r>
        <w:rPr>
          <w:rFonts w:ascii="Arial" w:hAnsi="Arial"/>
          <w:b w:val="0"/>
          <w:i w:val="0"/>
          <w:sz w:val="24"/>
        </w:rPr>
        <w:t>Descarga el machote, léelo completo y úsalo como concepto de impugnación de tu demanda de nulidad contra la negativa ficta. Antes de llenarlo reúne la solicitud con sello de recepción, la concesión de pensión o la credencial de pensionado, la hoja única de servicios, los comprobantes de pago y, si puedes obtenerla, la constancia de evolución salarial de la categoría de referencia. Confirma que la pensión se otorgó bajo el texto del artículo 57 de la Ley del ISSSTE anterior a la reforma de enero de 1993 y coteja ese texto; si se otorgó después, el machote no sirve tal cual. La sentencia que lo inspira es de 2016 y no obliga a otras Salas; revisa además el régimen transitorio de la ley del ISSSTE que sustituyó a la abrogada.</w:t>
      </w:r>
    </w:p>
    <w:p>
      <w:pPr>
        <w:spacing w:line="360" w:lineRule="auto"/>
        <w:jc w:val="both"/>
      </w:pPr>
      <w:r>
        <w:rPr>
          <w:rFonts w:ascii="Arial" w:hAnsi="Arial"/>
          <w:b w:val="0"/>
          <w:i w:val="0"/>
          <w:sz w:val="24"/>
        </w:rPr>
        <w:t>Determina la vía, ordinaria o sumaria, y revisa la oportunidad de la demanda conforme al artículo 13 de la Ley Federal de Procedimiento Contencioso Administrativo; si el Instituto llegó a notificar una resolución expresa, la demanda en la vía ordinaria se presenta en treinta días (artículo 13, fracción I) y el concepto debe adaptarse a esa resolución. Si el Instituto contesta, prepara la ampliación que autoriza el artículo 17, fracción I, dentro del plazo que ese artículo fija. Llena los campos editables, verifica cada fecha contra tus documentos y suprime la nota final antes de presentar.</w:t>
      </w:r>
    </w:p>
    <w:p>
      <w:pPr>
        <w:spacing w:line="360" w:lineRule="auto"/>
        <w:jc w:val="both"/>
      </w:pPr>
      <w:r>
        <w:rPr>
          <w:rFonts w:ascii="Arial" w:hAnsi="Arial"/>
          <w:b w:val="0"/>
          <w:i w:val="0"/>
          <w:sz w:val="24"/>
        </w:rPr>
        <w:t>Campos editables y qué poner en cada uno:</w:t>
      </w:r>
    </w:p>
    <w:p>
      <w:pPr>
        <w:spacing w:line="360" w:lineRule="auto"/>
        <w:jc w:val="both"/>
      </w:pPr>
      <w:r>
        <w:rPr>
          <w:rFonts w:ascii="Arial" w:hAnsi="Arial"/>
          <w:b/>
          <w:i w:val="0"/>
          <w:sz w:val="24"/>
        </w:rPr>
        <w:t>[NÚMERO ORDINAL DEL CONCEPTO]</w:t>
      </w:r>
      <w:r>
        <w:rPr>
          <w:rFonts w:ascii="Arial" w:hAnsi="Arial"/>
          <w:b w:val="0"/>
          <w:i w:val="0"/>
          <w:sz w:val="24"/>
        </w:rPr>
        <w:t>: el ordinal que le corresponda en tu demanda (PRIMERO, SEGUNDO…).</w:t>
      </w:r>
    </w:p>
    <w:p>
      <w:pPr>
        <w:spacing w:line="360" w:lineRule="auto"/>
        <w:jc w:val="both"/>
      </w:pPr>
      <w:r>
        <w:rPr>
          <w:rFonts w:ascii="Arial" w:hAnsi="Arial"/>
          <w:b/>
          <w:i w:val="0"/>
          <w:sz w:val="24"/>
        </w:rPr>
        <w:t>[NOMBRE DE LA PARTE ACTORA]</w:t>
      </w:r>
      <w:r>
        <w:rPr>
          <w:rFonts w:ascii="Arial" w:hAnsi="Arial"/>
          <w:b w:val="0"/>
          <w:i w:val="0"/>
          <w:sz w:val="24"/>
        </w:rPr>
        <w:t>: el nombre completo de la persona pensionada, tal como aparece en la concesión de pensión.</w:t>
      </w:r>
    </w:p>
    <w:p>
      <w:pPr>
        <w:spacing w:line="360" w:lineRule="auto"/>
        <w:jc w:val="both"/>
      </w:pPr>
      <w:r>
        <w:rPr>
          <w:rFonts w:ascii="Arial" w:hAnsi="Arial"/>
          <w:b/>
          <w:i w:val="0"/>
          <w:sz w:val="24"/>
        </w:rPr>
        <w:t>[FECHA DE PRESENTACIÓN DE LA SOLICITUD]</w:t>
      </w:r>
      <w:r>
        <w:rPr>
          <w:rFonts w:ascii="Arial" w:hAnsi="Arial"/>
          <w:b w:val="0"/>
          <w:i w:val="0"/>
          <w:sz w:val="24"/>
        </w:rPr>
        <w:t>: la fecha del sello de recepción del escrito que el Instituto dejó sin respuesta.</w:t>
      </w:r>
    </w:p>
    <w:p>
      <w:pPr>
        <w:spacing w:line="360" w:lineRule="auto"/>
        <w:jc w:val="both"/>
      </w:pPr>
      <w:r>
        <w:rPr>
          <w:rFonts w:ascii="Arial" w:hAnsi="Arial"/>
          <w:b/>
          <w:i w:val="0"/>
          <w:sz w:val="24"/>
        </w:rPr>
        <w:t>[AUTORIDAD DEMANDADA]</w:t>
      </w:r>
      <w:r>
        <w:rPr>
          <w:rFonts w:ascii="Arial" w:hAnsi="Arial"/>
          <w:b w:val="0"/>
          <w:i w:val="0"/>
          <w:sz w:val="24"/>
        </w:rPr>
        <w:t>: la unidad del Instituto ante la que se presentó la solicitud, con la denominación completa que aparece en el sello de recepción.</w:t>
      </w:r>
    </w:p>
    <w:p>
      <w:pPr>
        <w:spacing w:line="360" w:lineRule="auto"/>
        <w:jc w:val="both"/>
      </w:pPr>
      <w:r>
        <w:rPr>
          <w:rFonts w:ascii="Arial" w:hAnsi="Arial"/>
          <w:b/>
          <w:i w:val="0"/>
          <w:sz w:val="24"/>
        </w:rPr>
        <w:t>[TIPO DE PENSIÓN]</w:t>
      </w:r>
      <w:r>
        <w:rPr>
          <w:rFonts w:ascii="Arial" w:hAnsi="Arial"/>
          <w:b w:val="0"/>
          <w:i w:val="0"/>
          <w:sz w:val="24"/>
        </w:rPr>
        <w:t>: jubilación, retiro por edad y tiempo de servicios u otra, como la nombra la concesión.</w:t>
      </w:r>
    </w:p>
    <w:p>
      <w:pPr>
        <w:spacing w:line="360" w:lineRule="auto"/>
        <w:jc w:val="both"/>
      </w:pPr>
      <w:r>
        <w:rPr>
          <w:rFonts w:ascii="Arial" w:hAnsi="Arial"/>
          <w:b/>
          <w:i w:val="0"/>
          <w:sz w:val="24"/>
        </w:rPr>
        <w:t>[FECHA DE OTORGAMIENTO DE LA PENSIÓN]</w:t>
      </w:r>
      <w:r>
        <w:rPr>
          <w:rFonts w:ascii="Arial" w:hAnsi="Arial"/>
          <w:b w:val="0"/>
          <w:i w:val="0"/>
          <w:sz w:val="24"/>
        </w:rPr>
        <w:t>: la fecha de la concesión; de ella depende qué texto del artículo 57 rige el incremento.</w:t>
      </w:r>
    </w:p>
    <w:p>
      <w:pPr>
        <w:spacing w:line="360" w:lineRule="auto"/>
        <w:jc w:val="both"/>
      </w:pPr>
      <w:r>
        <w:rPr>
          <w:rFonts w:ascii="Arial" w:hAnsi="Arial"/>
          <w:b/>
          <w:i w:val="0"/>
          <w:sz w:val="24"/>
        </w:rPr>
        <w:t>[FECHA EN QUE VENCIÓ EL PLAZO PARA RESOLVER]</w:t>
      </w:r>
      <w:r>
        <w:rPr>
          <w:rFonts w:ascii="Arial" w:hAnsi="Arial"/>
          <w:b w:val="0"/>
          <w:i w:val="0"/>
          <w:sz w:val="24"/>
        </w:rPr>
        <w:t>: el último día del plazo del artículo 17 de la Ley Federal de Procedimiento Administrativo, contado desde la presentación de la solicitud.</w:t>
      </w:r>
    </w:p>
    <w:p>
      <w:pPr>
        <w:spacing w:line="360" w:lineRule="auto"/>
        <w:jc w:val="both"/>
      </w:pPr>
      <w:r>
        <w:rPr>
          <w:rFonts w:ascii="Arial" w:hAnsi="Arial"/>
          <w:b/>
          <w:i w:val="0"/>
          <w:sz w:val="24"/>
        </w:rPr>
        <w:t>[FECHA DESDE LA QUE SE RECLAMAN LAS DIFERENCIAS]</w:t>
      </w:r>
      <w:r>
        <w:rPr>
          <w:rFonts w:ascii="Arial" w:hAnsi="Arial"/>
          <w:b w:val="0"/>
          <w:i w:val="0"/>
          <w:sz w:val="24"/>
        </w:rPr>
        <w:t>: el inicio del periodo cuyas diferencias pides; revisa con la ley aplicable si alguna parte de ese periodo pudiera estar prescrita.</w:t>
      </w:r>
    </w:p>
    <w:p>
      <w:pPr>
        <w:spacing w:line="360" w:lineRule="auto"/>
        <w:jc w:val="both"/>
      </w:pPr>
      <w:r>
        <w:rPr>
          <w:rFonts w:ascii="Arial" w:hAnsi="Arial"/>
          <w:b/>
          <w:i w:val="0"/>
          <w:sz w:val="24"/>
        </w:rPr>
        <w:t>[CATEGORÍA O PUESTO DE REFERENCIA]</w:t>
      </w:r>
      <w:r>
        <w:rPr>
          <w:rFonts w:ascii="Arial" w:hAnsi="Arial"/>
          <w:b w:val="0"/>
          <w:i w:val="0"/>
          <w:sz w:val="24"/>
        </w:rPr>
        <w:t>: la categoría con la que la persona se pensionó, cuyo sueldo básico en activo sirve de comparación.</w:t>
      </w:r>
    </w:p>
    <w:p>
      <w:pPr>
        <w:spacing w:line="360" w:lineRule="auto"/>
        <w:jc w:val="both"/>
      </w:pPr>
      <w:r>
        <w:rPr>
          <w:rFonts w:ascii="Arial" w:hAnsi="Arial"/>
          <w:b/>
          <w:i w:val="0"/>
          <w:sz w:val="24"/>
        </w:rPr>
        <w:t>[DOCUMENTO QUE ACREDITA EL OTORGAMIENTO DE LA PENSIÓN]</w:t>
      </w:r>
      <w:r>
        <w:rPr>
          <w:rFonts w:ascii="Arial" w:hAnsi="Arial"/>
          <w:b w:val="0"/>
          <w:i w:val="0"/>
          <w:sz w:val="24"/>
        </w:rPr>
        <w:t>: la concesión de pensión, la credencial de pensionado u otro documento público que acredite la fecha.</w:t>
      </w:r>
    </w:p>
    <w:p>
      <w:pPr>
        <w:spacing w:line="360" w:lineRule="auto"/>
        <w:jc w:val="both"/>
      </w:pPr>
      <w:r>
        <w:rPr>
          <w:rFonts w:ascii="Arial" w:hAnsi="Arial"/>
          <w:b/>
          <w:i w:val="0"/>
          <w:sz w:val="24"/>
        </w:rPr>
        <w:t>[DEPENDENCIA EN QUE LABORÓ LA PARTE ACTORA]</w:t>
      </w:r>
      <w:r>
        <w:rPr>
          <w:rFonts w:ascii="Arial" w:hAnsi="Arial"/>
          <w:b w:val="0"/>
          <w:i w:val="0"/>
          <w:sz w:val="24"/>
        </w:rPr>
        <w:t>: la dependencia o entidad en la que prestaba servicios al pensionarse.</w:t>
      </w:r>
    </w:p>
    <w:p>
      <w:pPr>
        <w:spacing w:line="360" w:lineRule="auto"/>
        <w:jc w:val="both"/>
      </w:pPr>
      <w:r>
        <w:rPr>
          <w:rFonts w:ascii="Arial" w:hAnsi="Arial"/>
          <w:b/>
          <w:i w:val="0"/>
          <w:sz w:val="24"/>
        </w:rPr>
        <w:t>[DOCUMENTOS OFRECIDOS PARA ACREDITAR LA EVOLUCIÓN SALARIAL]</w:t>
      </w:r>
      <w:r>
        <w:rPr>
          <w:rFonts w:ascii="Arial" w:hAnsi="Arial"/>
          <w:b w:val="0"/>
          <w:i w:val="0"/>
          <w:sz w:val="24"/>
        </w:rPr>
        <w:t>: la constancia de evolución salarial de la categoría, tabuladores o comprobantes que muestren cómo aumentó el sueldo básico en activo.</w:t>
      </w:r>
    </w:p>
    <w:p>
      <w:pPr>
        <w:spacing w:line="360" w:lineRule="auto"/>
        <w:jc w:val="both"/>
      </w:pPr>
      <w:r>
        <w:rPr>
          <w:rFonts w:ascii="Arial" w:hAnsi="Arial"/>
          <w:b/>
          <w:i w:val="0"/>
          <w:sz w:val="24"/>
        </w:rPr>
        <w:t>[PARÁMETRO DE INCREMENTO QUE INVOQUE LA AUTORIDAD]</w:t>
      </w:r>
      <w:r>
        <w:rPr>
          <w:rFonts w:ascii="Arial" w:hAnsi="Arial"/>
          <w:b w:val="0"/>
          <w:i w:val="0"/>
          <w:sz w:val="24"/>
        </w:rPr>
        <w:t>: el parámetro que el Instituto diga haber aplicado, si ya lo conoces por sus comprobantes o por una respuesta previa; si no lo conoces al presentar la demanda, suprime ese párrafo y reserva el argumento para la ampliación, en caso de que el Instituto conteste.</w:t>
      </w:r>
    </w:p>
    <w:p/>
    <w:p>
      <w:pPr>
        <w:spacing w:line="360" w:lineRule="auto"/>
        <w:jc w:val="both"/>
      </w:pPr>
      <w:r>
        <w:rPr>
          <w:rFonts w:ascii="Arial" w:hAnsi="Arial"/>
          <w:b/>
          <w:sz w:val="28"/>
        </w:rPr>
        <w:t>[NÚMERO ORDINAL DEL CONCEPTO] CONCEPTO DE IMPUGNACIÓN. La resolución negativa ficta que niega el incremento de la pensión desconoce un derecho adquirido: la cuantía de una pensión otorgada al amparo del artículo 57, párrafo tercero, de la Ley del Instituto de Seguridad y Servicios Sociales de los Trabajadores del Estado debe aumentar al mismo tiempo y en la misma proporción que los sueldos básicos de los trabajadores en activo, sin que puedan aplicársele reformas posteriores en su perjuicio, por lo que se actualiza la causal del artículo 51, fracción IV, de la Ley Federal de Procedimiento Contencioso Administrativo.</w:t>
      </w:r>
    </w:p>
    <w:p>
      <w:pPr>
        <w:spacing w:line="360" w:lineRule="auto"/>
        <w:jc w:val="both"/>
      </w:pPr>
      <w:r>
        <w:rPr>
          <w:rFonts w:ascii="Arial" w:hAnsi="Arial"/>
          <w:b/>
          <w:sz w:val="28"/>
        </w:rPr>
        <w:t>I. Síntesis del concepto.</w:t>
      </w:r>
    </w:p>
    <w:p>
      <w:pPr>
        <w:spacing w:line="360" w:lineRule="auto"/>
        <w:jc w:val="both"/>
      </w:pPr>
      <w:r>
        <w:rPr>
          <w:rFonts w:ascii="Arial" w:hAnsi="Arial"/>
          <w:b w:val="0"/>
          <w:i w:val="0"/>
          <w:sz w:val="28"/>
        </w:rPr>
        <w:t xml:space="preserve">En este apartado se demostrará que la resolución negativa ficta recaída al escrito que </w:t>
      </w:r>
      <w:r>
        <w:rPr>
          <w:rFonts w:ascii="Arial" w:hAnsi="Arial"/>
          <w:b/>
          <w:i w:val="0"/>
          <w:sz w:val="28"/>
        </w:rPr>
        <w:t>[NOMBRE DE LA PARTE ACTORA]</w:t>
      </w:r>
      <w:r>
        <w:rPr>
          <w:rFonts w:ascii="Arial" w:hAnsi="Arial"/>
          <w:b w:val="0"/>
          <w:i w:val="0"/>
          <w:sz w:val="28"/>
        </w:rPr>
        <w:t xml:space="preserve"> presentó el </w:t>
      </w:r>
      <w:r>
        <w:rPr>
          <w:rFonts w:ascii="Arial" w:hAnsi="Arial"/>
          <w:b/>
          <w:i w:val="0"/>
          <w:sz w:val="28"/>
        </w:rPr>
        <w:t>[FECHA DE PRESENTACIÓN DE LA SOLICITUD]</w:t>
      </w:r>
      <w:r>
        <w:rPr>
          <w:rFonts w:ascii="Arial" w:hAnsi="Arial"/>
          <w:b w:val="0"/>
          <w:i w:val="0"/>
          <w:sz w:val="28"/>
        </w:rPr>
        <w:t xml:space="preserve"> ante la </w:t>
      </w:r>
      <w:r>
        <w:rPr>
          <w:rFonts w:ascii="Arial" w:hAnsi="Arial"/>
          <w:b/>
          <w:i w:val="0"/>
          <w:sz w:val="28"/>
        </w:rPr>
        <w:t>[AUTORIDAD DEMANDADA]</w:t>
      </w:r>
      <w:r>
        <w:rPr>
          <w:rFonts w:ascii="Arial" w:hAnsi="Arial"/>
          <w:b w:val="0"/>
          <w:i w:val="0"/>
          <w:sz w:val="28"/>
        </w:rPr>
        <w:t xml:space="preserve">, en el que solicitó el incremento de su </w:t>
      </w:r>
      <w:r>
        <w:rPr>
          <w:rFonts w:ascii="Arial" w:hAnsi="Arial"/>
          <w:b/>
          <w:i w:val="0"/>
          <w:sz w:val="28"/>
        </w:rPr>
        <w:t>[TIPO DE PENSIÓN]</w:t>
      </w:r>
      <w:r>
        <w:rPr>
          <w:rFonts w:ascii="Arial" w:hAnsi="Arial"/>
          <w:b w:val="0"/>
          <w:i w:val="0"/>
          <w:sz w:val="28"/>
        </w:rPr>
        <w:t xml:space="preserve"> conforme al aumento del sueldo básico de los trabajadores en activo y el pago de las diferencias resultantes, niega un derecho que ingresó a su patrimonio el </w:t>
      </w:r>
      <w:r>
        <w:rPr>
          <w:rFonts w:ascii="Arial" w:hAnsi="Arial"/>
          <w:b/>
          <w:i w:val="0"/>
          <w:sz w:val="28"/>
        </w:rPr>
        <w:t>[FECHA DE OTORGAMIENTO DE LA PENSIÓN]</w:t>
      </w:r>
      <w:r>
        <w:rPr>
          <w:rFonts w:ascii="Arial" w:hAnsi="Arial"/>
          <w:b w:val="0"/>
          <w:i w:val="0"/>
          <w:sz w:val="28"/>
        </w:rPr>
        <w:t>, fecha en que le fue concedida la pensión.</w:t>
      </w:r>
    </w:p>
    <w:p>
      <w:pPr>
        <w:spacing w:line="360" w:lineRule="auto"/>
        <w:jc w:val="both"/>
      </w:pPr>
      <w:r>
        <w:rPr>
          <w:rFonts w:ascii="Arial" w:hAnsi="Arial"/>
          <w:b w:val="0"/>
          <w:i w:val="0"/>
          <w:sz w:val="28"/>
        </w:rPr>
        <w:t>La demostración descansa en tres premisas verificables: primera, que la pensión se rige por la ley vigente al momento de su otorgamiento y que esa ley incorporaba al derecho la regla conforme a la cual la cuantía debía crecer; segunda, que el artículo 14 constitucional impide aplicar en perjuicio de su titular las reformas posteriores a esa regla; y tercera, que el silencio de la autoridad la obliga a exponer en su contestación los hechos y el derecho de su negativa y a demostrar que calculó los incrementos con el parámetro debido.</w:t>
      </w:r>
    </w:p>
    <w:p>
      <w:pPr>
        <w:spacing w:line="360" w:lineRule="auto"/>
        <w:jc w:val="both"/>
      </w:pPr>
      <w:r>
        <w:rPr>
          <w:rFonts w:ascii="Arial" w:hAnsi="Arial"/>
          <w:b w:val="0"/>
          <w:i w:val="0"/>
          <w:sz w:val="28"/>
        </w:rPr>
        <w:t>Sostenidas esas premisas, la negativa ficta dejó de aplicar las disposiciones debidas en cuanto al fondo del asunto, hipótesis prevista en la fracción IV del artículo 51 de la Ley Federal de Procedimiento Contencioso Administrativo, de modo que procede declarar su nulidad y, con apoyo en el artículo 52, fracción V, inciso a), del mismo ordenamiento, reconocer el derecho de la parte actora y condenar a la autoridad al pago de las diferencias.</w:t>
      </w:r>
    </w:p>
    <w:p>
      <w:pPr>
        <w:spacing w:line="360" w:lineRule="auto"/>
        <w:jc w:val="both"/>
      </w:pPr>
      <w:r>
        <w:rPr>
          <w:rFonts w:ascii="Arial" w:hAnsi="Arial"/>
          <w:b/>
          <w:sz w:val="28"/>
        </w:rPr>
        <w:t>II. Planteamiento.</w:t>
      </w:r>
    </w:p>
    <w:p>
      <w:pPr>
        <w:spacing w:line="360" w:lineRule="auto"/>
        <w:jc w:val="both"/>
      </w:pPr>
      <w:r>
        <w:rPr>
          <w:rFonts w:ascii="Arial" w:hAnsi="Arial"/>
          <w:b w:val="0"/>
          <w:i w:val="0"/>
          <w:sz w:val="28"/>
        </w:rPr>
        <w:t xml:space="preserve">La resolución impugnada es la negativa ficta que se configuró porque la </w:t>
      </w:r>
      <w:r>
        <w:rPr>
          <w:rFonts w:ascii="Arial" w:hAnsi="Arial"/>
          <w:b/>
          <w:i w:val="0"/>
          <w:sz w:val="28"/>
        </w:rPr>
        <w:t>[AUTORIDAD DEMANDADA]</w:t>
      </w:r>
      <w:r>
        <w:rPr>
          <w:rFonts w:ascii="Arial" w:hAnsi="Arial"/>
          <w:b w:val="0"/>
          <w:i w:val="0"/>
          <w:sz w:val="28"/>
        </w:rPr>
        <w:t xml:space="preserve"> no resolvió ni notificó respuesta alguna a la solicitud antes citada dentro del plazo que para ese efecto fija el artículo 17, párrafo primero, de la Ley Federal de Procedimiento Administrativo, salvo que otra disposición establezca uno distinto, vencido el </w:t>
      </w:r>
      <w:r>
        <w:rPr>
          <w:rFonts w:ascii="Arial" w:hAnsi="Arial"/>
          <w:b/>
          <w:i w:val="0"/>
          <w:sz w:val="28"/>
        </w:rPr>
        <w:t>[FECHA EN QUE VENCIÓ EL PLAZO PARA RESOLVER]</w:t>
      </w:r>
      <w:r>
        <w:rPr>
          <w:rFonts w:ascii="Arial" w:hAnsi="Arial"/>
          <w:b w:val="0"/>
          <w:i w:val="0"/>
          <w:sz w:val="28"/>
        </w:rPr>
        <w:t>, ni lo hizo antes de la presentación de esta demanda.</w:t>
      </w:r>
    </w:p>
    <w:p>
      <w:pPr>
        <w:spacing w:line="360" w:lineRule="auto"/>
        <w:jc w:val="both"/>
      </w:pPr>
      <w:r>
        <w:rPr>
          <w:rFonts w:ascii="Arial" w:hAnsi="Arial"/>
          <w:b w:val="0"/>
          <w:i w:val="0"/>
          <w:sz w:val="28"/>
        </w:rPr>
        <w:t>En cumplimiento del artículo 15, fracción IV, de la Ley Federal de Procedimiento Contencioso Administrativo, se acompaña la copia de la solicitud en la que obra el sello de recepción de la instancia no resuelta, documento que acredita la petición, su fecha y la autoridad ante la que se formuló, datos de los que depende el cómputo del plazo para resolver.</w:t>
      </w:r>
    </w:p>
    <w:p>
      <w:pPr>
        <w:spacing w:line="360" w:lineRule="auto"/>
        <w:jc w:val="both"/>
      </w:pPr>
      <w:r>
        <w:rPr>
          <w:rFonts w:ascii="Arial" w:hAnsi="Arial"/>
          <w:b w:val="0"/>
          <w:i w:val="0"/>
          <w:sz w:val="28"/>
        </w:rPr>
        <w:t xml:space="preserve">Las normas cuya inobservancia se plantea son el artículo 57, párrafo tercero, de la Ley del Instituto de Seguridad y Servicios Sociales de los Trabajadores del Estado, en el texto vigente el </w:t>
      </w:r>
      <w:r>
        <w:rPr>
          <w:rFonts w:ascii="Arial" w:hAnsi="Arial"/>
          <w:b/>
          <w:i w:val="0"/>
          <w:sz w:val="28"/>
        </w:rPr>
        <w:t>[FECHA DE OTORGAMIENTO DE LA PENSIÓN]</w:t>
      </w:r>
      <w:r>
        <w:rPr>
          <w:rFonts w:ascii="Arial" w:hAnsi="Arial"/>
          <w:b w:val="0"/>
          <w:i w:val="0"/>
          <w:sz w:val="28"/>
        </w:rPr>
        <w:t>; el artículo 14, párrafo primero, de la Constitución Política de los Estados Unidos Mexicanos, que prohíbe dar efecto retroactivo a una ley en perjuicio de persona alguna; y el artículo 123, apartado B, fracción XI, inciso a), constitucional, que incluye la jubilación, la invalidez, la vejez y la muerte entre las bases mínimas de la seguridad social de quienes trabajan al servicio del Estado.</w:t>
      </w:r>
    </w:p>
    <w:p>
      <w:pPr>
        <w:spacing w:line="360" w:lineRule="auto"/>
        <w:jc w:val="both"/>
      </w:pPr>
      <w:r>
        <w:rPr>
          <w:rFonts w:ascii="Arial" w:hAnsi="Arial"/>
          <w:b w:val="0"/>
          <w:i w:val="0"/>
          <w:sz w:val="28"/>
        </w:rPr>
        <w:t xml:space="preserve">El perjuicio es actual y se renueva con cada pago: desde </w:t>
      </w:r>
      <w:r>
        <w:rPr>
          <w:rFonts w:ascii="Arial" w:hAnsi="Arial"/>
          <w:b/>
          <w:i w:val="0"/>
          <w:sz w:val="28"/>
        </w:rPr>
        <w:t>[FECHA DESDE LA QUE SE RECLAMAN LAS DIFERENCIAS]</w:t>
      </w:r>
      <w:r>
        <w:rPr>
          <w:rFonts w:ascii="Arial" w:hAnsi="Arial"/>
          <w:b w:val="0"/>
          <w:i w:val="0"/>
          <w:sz w:val="28"/>
        </w:rPr>
        <w:t xml:space="preserve">, la parte actora percibe una pensión cuya cuantía no ha aumentado al mismo tiempo ni en la misma proporción que el sueldo básico de un trabajador en activo de la categoría de </w:t>
      </w:r>
      <w:r>
        <w:rPr>
          <w:rFonts w:ascii="Arial" w:hAnsi="Arial"/>
          <w:b/>
          <w:i w:val="0"/>
          <w:sz w:val="28"/>
        </w:rPr>
        <w:t>[CATEGORÍA O PUESTO DE REFERENCIA]</w:t>
      </w:r>
      <w:r>
        <w:rPr>
          <w:rFonts w:ascii="Arial" w:hAnsi="Arial"/>
          <w:b w:val="0"/>
          <w:i w:val="0"/>
          <w:sz w:val="28"/>
        </w:rPr>
        <w:t>, con lo que el poder adquisitivo de la prestación se erosiona mes con mes y la diferencia se proyecta, además, sobre la gratificación anual, que se calcula con la cuota diaria de la pensión.</w:t>
      </w:r>
    </w:p>
    <w:p>
      <w:pPr>
        <w:spacing w:line="360" w:lineRule="auto"/>
        <w:jc w:val="both"/>
      </w:pPr>
      <w:r>
        <w:rPr>
          <w:rFonts w:ascii="Arial" w:hAnsi="Arial"/>
          <w:b w:val="0"/>
          <w:i w:val="0"/>
          <w:sz w:val="28"/>
        </w:rPr>
        <w:t>Conviene precisar el alcance de la pretensión. Se reclaman los incrementos de la cuantía de la pensión y las diferencias que resulten, con su reflejo en la gratificación anual en el número de días que legalmente corresponda. No se reclaman días adicionales de gratificación derivados de decretos o convenios aplicables a trabajadores en activo de otros sistemas, pretensión que una Sala Regional de este Tribunal desestimó en un caso análogo al no acreditarse un convenio de incorporación que pactara ese pago adicional a cargo del Gobierno Federal.</w:t>
      </w:r>
    </w:p>
    <w:p>
      <w:pPr>
        <w:spacing w:line="360" w:lineRule="auto"/>
        <w:jc w:val="both"/>
      </w:pPr>
      <w:r>
        <w:rPr>
          <w:rFonts w:ascii="Arial" w:hAnsi="Arial"/>
          <w:b/>
          <w:sz w:val="28"/>
        </w:rPr>
        <w:t>III. Desarrollo doctrinal y normativo. Premisa mayor.</w:t>
      </w:r>
    </w:p>
    <w:p>
      <w:pPr>
        <w:spacing w:line="360" w:lineRule="auto"/>
        <w:jc w:val="both"/>
      </w:pPr>
      <w:r>
        <w:rPr>
          <w:rFonts w:ascii="Arial" w:hAnsi="Arial"/>
          <w:b w:val="0"/>
          <w:i w:val="0"/>
          <w:sz w:val="28"/>
        </w:rPr>
        <w:t>El punto de partida es constitucional. El artículo 123, apartado B, fracción XI, inciso a), de la Constitución organiza la seguridad social de los trabajadores al servicio del Estado sobre bases mínimas que cubren, entre otras contingencias, la jubilación y la vejez. La pensión es la forma concreta en que esa base mínima se materializa, y su cuantía, por su propia función, está llamada a sustituir el ingreso que la persona trabajadora dejó de percibir al retirarse.</w:t>
      </w:r>
    </w:p>
    <w:p>
      <w:pPr>
        <w:spacing w:line="360" w:lineRule="auto"/>
        <w:jc w:val="both"/>
      </w:pPr>
      <w:r>
        <w:rPr>
          <w:rFonts w:ascii="Arial" w:hAnsi="Arial"/>
          <w:b w:val="0"/>
          <w:i w:val="0"/>
          <w:sz w:val="28"/>
        </w:rPr>
        <w:t xml:space="preserve">En el plano legal, el artículo 57, párrafo tercero, de la Ley del Instituto de Seguridad y Servicios Sociales de los Trabajadores del Estado, en el texto vigente cuando se otorgó la pensión de la parte actora, disponía: </w:t>
      </w:r>
      <w:r>
        <w:rPr>
          <w:rFonts w:ascii="Arial" w:hAnsi="Arial"/>
          <w:b w:val="0"/>
          <w:i/>
          <w:sz w:val="28"/>
        </w:rPr>
        <w:t>“Las cuantías de las pensiones aumentarán al mismo tiempo y en la misma proporción en que aumenten los sueldos básicos de los trabajadores en activo”</w:t>
      </w:r>
      <w:r>
        <w:rPr>
          <w:rFonts w:ascii="Arial" w:hAnsi="Arial"/>
          <w:b w:val="0"/>
          <w:i w:val="0"/>
          <w:sz w:val="28"/>
        </w:rPr>
        <w:t>. La regla fija dos variables, el momento y la proporción, y ata ambas a un referente externo y objetivo, el sueldo básico del personal en activo, de suerte que la autoridad carece de margen para sustituirlo por otro.</w:t>
      </w:r>
    </w:p>
    <w:p>
      <w:pPr>
        <w:spacing w:line="360" w:lineRule="auto"/>
        <w:jc w:val="both"/>
      </w:pPr>
      <w:r>
        <w:rPr>
          <w:rFonts w:ascii="Arial" w:hAnsi="Arial"/>
          <w:b w:val="0"/>
          <w:i w:val="0"/>
          <w:sz w:val="28"/>
        </w:rPr>
        <w:t>Como lo ha reconocido una Sala Regional de este Tribunal en un caso análogo, esa disposición persigue preservar el poder adquisitivo de las pensiones, para que quien obtiene el beneficio conserve un nivel de vida y una posición económica y social similares a los que disfrutaba cuando aún laboraba. La regla de incremento integra, por tanto, el contenido mismo del derecho pensionario y acompaña a la pensión durante toda su vigencia.</w:t>
      </w:r>
    </w:p>
    <w:p>
      <w:pPr>
        <w:spacing w:line="360" w:lineRule="auto"/>
        <w:jc w:val="both"/>
      </w:pPr>
      <w:r>
        <w:rPr>
          <w:rFonts w:ascii="Arial" w:hAnsi="Arial"/>
          <w:b w:val="0"/>
          <w:i w:val="0"/>
          <w:sz w:val="28"/>
        </w:rPr>
        <w:t>El derecho a la pensión se adquiere cuando la persona trabajadora reúne los años de servicio y la edad que la ley exige y la autoridad lo reconoce; desde entonces, la cuantía asignada y el mecanismo conforme al cual debe crecer quedan incorporados al patrimonio de su titular bajo el imperio de la ley vigente en esa fecha. Con apoyo en la teoría de los derechos adquiridos, la Sala sostuvo en aquel caso que las reformas posteriores al precepto no pueden regir los incrementos de una pensión concedida antes de ellas.</w:t>
      </w:r>
    </w:p>
    <w:p>
      <w:pPr>
        <w:spacing w:line="360" w:lineRule="auto"/>
        <w:jc w:val="both"/>
      </w:pPr>
      <w:r>
        <w:rPr>
          <w:rFonts w:ascii="Arial" w:hAnsi="Arial"/>
          <w:b w:val="0"/>
          <w:i w:val="0"/>
          <w:sz w:val="28"/>
        </w:rPr>
        <w:t xml:space="preserve">Esa conclusión encuentra respaldo directo en el artículo 14, párrafo primero, constitucional, conforme al cual </w:t>
      </w:r>
      <w:r>
        <w:rPr>
          <w:rFonts w:ascii="Arial" w:hAnsi="Arial"/>
          <w:b w:val="0"/>
          <w:i/>
          <w:sz w:val="28"/>
        </w:rPr>
        <w:t>“A ninguna ley se dará efecto retroactivo en perjuicio de persona alguna”</w:t>
      </w:r>
      <w:r>
        <w:rPr>
          <w:rFonts w:ascii="Arial" w:hAnsi="Arial"/>
          <w:b w:val="0"/>
          <w:i w:val="0"/>
          <w:sz w:val="28"/>
        </w:rPr>
        <w:t>. La teoría del derecho explica que el principio de irretroactividad puede reconducirse a tres finalidades distintas: la estabilidad de las relaciones ya establecidas, la tutela de los llamados derechos adquiridos y la previsibilidad de las consecuencias jurídicas de las propias acciones.</w:t>
      </w:r>
      <w:r>
        <w:rPr>
          <w:rFonts w:ascii="Arial" w:hAnsi="Arial"/>
          <w:vertAlign w:val="superscript"/>
        </w:rPr>
        <w:t>1</w:t>
      </w:r>
    </w:p>
    <w:p>
      <w:pPr>
        <w:spacing w:line="360" w:lineRule="auto"/>
        <w:jc w:val="both"/>
      </w:pPr>
      <w:r>
        <w:rPr>
          <w:rFonts w:ascii="Arial" w:hAnsi="Arial"/>
          <w:b w:val="0"/>
          <w:i w:val="0"/>
          <w:sz w:val="28"/>
        </w:rPr>
        <w:t>La gravedad de la aplicación retroactiva se aprecia mejor desde la certeza jurídica. La doctrina advierte que la normación retroactiva frustra las previsiones formuladas conforme a la regla anterior sobre situaciones ya consumadas, en un momento en que la persona afectada no puede modificar sus planes para evitar la consecuencia desfavorable, y que la incontestabilidad de las relaciones consumadas y de los derechos adquiridos es lo que permite tomarlos como base estable de previsión.</w:t>
      </w:r>
      <w:r>
        <w:rPr>
          <w:rFonts w:ascii="Arial" w:hAnsi="Arial"/>
          <w:vertAlign w:val="superscript"/>
        </w:rPr>
        <w:t>2</w:t>
      </w:r>
    </w:p>
    <w:p>
      <w:pPr>
        <w:spacing w:line="360" w:lineRule="auto"/>
        <w:jc w:val="both"/>
      </w:pPr>
      <w:r>
        <w:rPr>
          <w:rFonts w:ascii="Arial" w:hAnsi="Arial"/>
          <w:b w:val="0"/>
          <w:i w:val="0"/>
          <w:sz w:val="28"/>
        </w:rPr>
        <w:t>Quien se retiró con una pensión dotada de una regla de incremento organizó su vida sobre esa base; alterar después el parámetro equivale a cambiarle las condiciones cuando ya no puede reaccionar, pues ha dejado de trabajar, de cotizar y de ascender, y depende enteramente de la prestación que la ley le aseguró al retirarse.</w:t>
      </w:r>
    </w:p>
    <w:p>
      <w:pPr>
        <w:spacing w:line="360" w:lineRule="auto"/>
        <w:jc w:val="both"/>
      </w:pPr>
      <w:r>
        <w:rPr>
          <w:rFonts w:ascii="Arial" w:hAnsi="Arial"/>
          <w:b w:val="0"/>
          <w:i w:val="0"/>
          <w:sz w:val="28"/>
        </w:rPr>
        <w:t xml:space="preserve">A esas premisas sustantivas se suman las procesales que rigen el juicio contra una negativa ficta. El artículo 22, párrafo segundo, de la Ley Federal de Procedimiento Contencioso Administrativo impone a la autoridad demandada, o a la facultada para contestar la demanda, el deber de expresar </w:t>
      </w:r>
      <w:r>
        <w:rPr>
          <w:rFonts w:ascii="Arial" w:hAnsi="Arial"/>
          <w:b w:val="0"/>
          <w:i/>
          <w:sz w:val="28"/>
        </w:rPr>
        <w:t>“los hechos y el derecho en que se apoya”</w:t>
      </w:r>
      <w:r>
        <w:rPr>
          <w:rFonts w:ascii="Arial" w:hAnsi="Arial"/>
          <w:b w:val="0"/>
          <w:i w:val="0"/>
          <w:sz w:val="28"/>
        </w:rPr>
        <w:t xml:space="preserve"> la negativa, y el artículo 17, fracción I, abre a la parte actora la ampliación de la demanda para controvertirlos.</w:t>
      </w:r>
    </w:p>
    <w:p>
      <w:pPr>
        <w:spacing w:line="360" w:lineRule="auto"/>
        <w:jc w:val="both"/>
      </w:pPr>
      <w:r>
        <w:rPr>
          <w:rFonts w:ascii="Arial" w:hAnsi="Arial"/>
          <w:b w:val="0"/>
          <w:i w:val="0"/>
          <w:sz w:val="28"/>
        </w:rPr>
        <w:t>El artículo 19, párrafo primero, del mismo ordenamiento dispone que, si no se produce la contestación en tiempo y forma o ésta no se refiere a todos los hechos, se tendrán como ciertos los que la persona actora impute de manera precisa a la persona demandada, salvo que por las pruebas rendidas o por hechos notorios resulten desvirtuados. El silencio que dio origen a la negativa ficta no puede prolongarse en el juicio sin consecuencias.</w:t>
      </w:r>
    </w:p>
    <w:p>
      <w:pPr>
        <w:spacing w:line="360" w:lineRule="auto"/>
        <w:jc w:val="both"/>
      </w:pPr>
      <w:r>
        <w:rPr>
          <w:rFonts w:ascii="Arial" w:hAnsi="Arial"/>
          <w:b w:val="0"/>
          <w:i w:val="0"/>
          <w:sz w:val="28"/>
        </w:rPr>
        <w:t>En materia probatoria, el artículo 42 de esa ley presume legales los actos administrativos, pero obliga a las autoridades a probar los hechos que los motiven cuando la persona afectada los niegue lisa y llanamente; el artículo 40, párrafo primero, exige a quien pretende el reconocimiento de un derecho subjetivo probar los hechos de los que deriva y la violación de éste cuando consista en hechos positivos; y el artículo 45, párrafo segundo, previene que se presumirán ciertos los hechos cuando la autoridad demandada, sin causa justificada, no expida las copias de los documentos ofrecidos y precisamente identificados.</w:t>
      </w:r>
    </w:p>
    <w:p>
      <w:pPr>
        <w:spacing w:line="360" w:lineRule="auto"/>
        <w:jc w:val="both"/>
      </w:pPr>
      <w:r>
        <w:rPr>
          <w:rFonts w:ascii="Arial" w:hAnsi="Arial"/>
          <w:b w:val="0"/>
          <w:i w:val="0"/>
          <w:sz w:val="28"/>
        </w:rPr>
        <w:t>Ese reparto responde a una razón que la doctrina probatoria ha hecho explícita: el principio de disponibilidad probatoria establece que las consecuencias de la falta de prueba deben recaer en la parte que se encontraba en mejores condiciones para aportarla, por su cercanía, vinculación o acceso a la fuente de prueba.</w:t>
      </w:r>
      <w:r>
        <w:rPr>
          <w:rFonts w:ascii="Arial" w:hAnsi="Arial"/>
          <w:vertAlign w:val="superscript"/>
        </w:rPr>
        <w:t>3</w:t>
      </w:r>
      <w:r>
        <w:rPr>
          <w:rFonts w:ascii="Arial" w:hAnsi="Arial"/>
          <w:b w:val="0"/>
          <w:i w:val="0"/>
          <w:sz w:val="28"/>
        </w:rPr>
        <w:t xml:space="preserve"> El Instituto que otorga, calcula y paga la pensión conserva los registros de cada incremento, su fecha y su porcentaje, mientras que la persona pensionada carece de acceso a esa memoria de cálculo.</w:t>
      </w:r>
    </w:p>
    <w:p>
      <w:pPr>
        <w:spacing w:line="360" w:lineRule="auto"/>
        <w:jc w:val="both"/>
      </w:pPr>
      <w:r>
        <w:rPr>
          <w:rFonts w:ascii="Arial" w:hAnsi="Arial"/>
          <w:b/>
          <w:sz w:val="28"/>
        </w:rPr>
        <w:t>IV. Aplicación al caso concreto y refutación de la motivación de la autoridad.</w:t>
      </w:r>
    </w:p>
    <w:p>
      <w:pPr>
        <w:spacing w:line="360" w:lineRule="auto"/>
        <w:jc w:val="both"/>
      </w:pPr>
      <w:r>
        <w:rPr>
          <w:rFonts w:ascii="Arial" w:hAnsi="Arial"/>
          <w:b w:val="0"/>
          <w:i w:val="0"/>
          <w:sz w:val="28"/>
        </w:rPr>
        <w:t xml:space="preserve">Los hechos encuadran en la premisa expuesta. A la parte actora se le otorgó </w:t>
      </w:r>
      <w:r>
        <w:rPr>
          <w:rFonts w:ascii="Arial" w:hAnsi="Arial"/>
          <w:b/>
          <w:i w:val="0"/>
          <w:sz w:val="28"/>
        </w:rPr>
        <w:t>[TIPO DE PENSIÓN]</w:t>
      </w:r>
      <w:r>
        <w:rPr>
          <w:rFonts w:ascii="Arial" w:hAnsi="Arial"/>
          <w:b w:val="0"/>
          <w:i w:val="0"/>
          <w:sz w:val="28"/>
        </w:rPr>
        <w:t xml:space="preserve"> el </w:t>
      </w:r>
      <w:r>
        <w:rPr>
          <w:rFonts w:ascii="Arial" w:hAnsi="Arial"/>
          <w:b/>
          <w:i w:val="0"/>
          <w:sz w:val="28"/>
        </w:rPr>
        <w:t>[FECHA DE OTORGAMIENTO DE LA PENSIÓN]</w:t>
      </w:r>
      <w:r>
        <w:rPr>
          <w:rFonts w:ascii="Arial" w:hAnsi="Arial"/>
          <w:b w:val="0"/>
          <w:i w:val="0"/>
          <w:sz w:val="28"/>
        </w:rPr>
        <w:t xml:space="preserve">, según consta en </w:t>
      </w:r>
      <w:r>
        <w:rPr>
          <w:rFonts w:ascii="Arial" w:hAnsi="Arial"/>
          <w:b/>
          <w:i w:val="0"/>
          <w:sz w:val="28"/>
        </w:rPr>
        <w:t>[DOCUMENTO QUE ACREDITA EL OTORGAMIENTO DE LA PENSIÓN]</w:t>
      </w:r>
      <w:r>
        <w:rPr>
          <w:rFonts w:ascii="Arial" w:hAnsi="Arial"/>
          <w:b w:val="0"/>
          <w:i w:val="0"/>
          <w:sz w:val="28"/>
        </w:rPr>
        <w:t xml:space="preserve">, después de prestar servicios en </w:t>
      </w:r>
      <w:r>
        <w:rPr>
          <w:rFonts w:ascii="Arial" w:hAnsi="Arial"/>
          <w:b/>
          <w:i w:val="0"/>
          <w:sz w:val="28"/>
        </w:rPr>
        <w:t>[DEPENDENCIA EN QUE LABORÓ LA PARTE ACTORA]</w:t>
      </w:r>
      <w:r>
        <w:rPr>
          <w:rFonts w:ascii="Arial" w:hAnsi="Arial"/>
          <w:b w:val="0"/>
          <w:i w:val="0"/>
          <w:sz w:val="28"/>
        </w:rPr>
        <w:t xml:space="preserve"> con la categoría de </w:t>
      </w:r>
      <w:r>
        <w:rPr>
          <w:rFonts w:ascii="Arial" w:hAnsi="Arial"/>
          <w:b/>
          <w:i w:val="0"/>
          <w:sz w:val="28"/>
        </w:rPr>
        <w:t>[CATEGORÍA O PUESTO DE REFERENCIA]</w:t>
      </w:r>
      <w:r>
        <w:rPr>
          <w:rFonts w:ascii="Arial" w:hAnsi="Arial"/>
          <w:b w:val="0"/>
          <w:i w:val="0"/>
          <w:sz w:val="28"/>
        </w:rPr>
        <w:t>. Ésos son los hechos positivos de los que deriva su derecho, y quedan acreditados con los documentos públicos que se exhiben con esta demanda.</w:t>
      </w:r>
    </w:p>
    <w:p>
      <w:pPr>
        <w:spacing w:line="360" w:lineRule="auto"/>
        <w:jc w:val="both"/>
      </w:pPr>
      <w:r>
        <w:rPr>
          <w:rFonts w:ascii="Arial" w:hAnsi="Arial"/>
          <w:b w:val="0"/>
          <w:i w:val="0"/>
          <w:sz w:val="28"/>
        </w:rPr>
        <w:t xml:space="preserve">La violación consiste en una omisión: la autoridad no ha incrementado la cuantía de la pensión al mismo tiempo y en la misma proporción en que ha aumentado el sueldo básico de un trabajador en activo de esa categoría. La parte actora niega lisa y llanamente que la </w:t>
      </w:r>
      <w:r>
        <w:rPr>
          <w:rFonts w:ascii="Arial" w:hAnsi="Arial"/>
          <w:b/>
          <w:i w:val="0"/>
          <w:sz w:val="28"/>
        </w:rPr>
        <w:t>[AUTORIDAD DEMANDADA]</w:t>
      </w:r>
      <w:r>
        <w:rPr>
          <w:rFonts w:ascii="Arial" w:hAnsi="Arial"/>
          <w:b w:val="0"/>
          <w:i w:val="0"/>
          <w:sz w:val="28"/>
        </w:rPr>
        <w:t xml:space="preserve"> haya calculado y aplicado los incrementos conforme al artículo 57, párrafo tercero, de la ley vigente en la fecha de otorgamiento, por lo que corresponde a ésta demostrar que lo hizo, con la memoria de cálculo, las fechas y los porcentajes aplicados.</w:t>
      </w:r>
    </w:p>
    <w:p>
      <w:pPr>
        <w:spacing w:line="360" w:lineRule="auto"/>
        <w:jc w:val="both"/>
      </w:pPr>
      <w:r>
        <w:rPr>
          <w:rFonts w:ascii="Arial" w:hAnsi="Arial"/>
          <w:b w:val="0"/>
          <w:i w:val="0"/>
          <w:sz w:val="28"/>
        </w:rPr>
        <w:t xml:space="preserve">Para que esa Sala pueda constatar el derecho antes de condenar, como lo exige el artículo 50, párrafo quinto, de la Ley Federal de Procedimiento Contencioso Administrativo, se ofrecen </w:t>
      </w:r>
      <w:r>
        <w:rPr>
          <w:rFonts w:ascii="Arial" w:hAnsi="Arial"/>
          <w:b/>
          <w:i w:val="0"/>
          <w:sz w:val="28"/>
        </w:rPr>
        <w:t>[DOCUMENTOS OFRECIDOS PARA ACREDITAR LA EVOLUCIÓN SALARIAL]</w:t>
      </w:r>
      <w:r>
        <w:rPr>
          <w:rFonts w:ascii="Arial" w:hAnsi="Arial"/>
          <w:b w:val="0"/>
          <w:i w:val="0"/>
          <w:sz w:val="28"/>
        </w:rPr>
        <w:t xml:space="preserve"> y, respecto de los documentos que obran en poder de la autoridad, se señala el archivo en que se encuentran y se acompaña la solicitud de copias presentada, en términos del artículo 15, párrafo tercero, de esa ley, con la consecuencia que prevé su artículo 45, párrafo segundo.</w:t>
      </w:r>
    </w:p>
    <w:p>
      <w:pPr>
        <w:spacing w:line="360" w:lineRule="auto"/>
        <w:jc w:val="both"/>
      </w:pPr>
      <w:r>
        <w:rPr>
          <w:rFonts w:ascii="Arial" w:hAnsi="Arial"/>
          <w:b w:val="0"/>
          <w:i w:val="0"/>
          <w:sz w:val="28"/>
        </w:rPr>
        <w:t>Si la autoridad omite contestar, la consecuencia está prevista en la ley: al no expresar los hechos y el derecho de su negativa, ésta carece por completo de fundamentación y motivación, y los hechos que se le imputan de manera precisa en este concepto deben tenerse por ciertos conforme al artículo 19. En el caso análogo antes referido, la Sala tuvo por ciertos los hechos del pensionado ante la falta de contestación del Instituto y declaró la nulidad de la negativa ficta.</w:t>
      </w:r>
    </w:p>
    <w:p>
      <w:pPr>
        <w:spacing w:line="360" w:lineRule="auto"/>
        <w:jc w:val="both"/>
      </w:pPr>
      <w:r>
        <w:rPr>
          <w:rFonts w:ascii="Arial" w:hAnsi="Arial"/>
          <w:b w:val="0"/>
          <w:i w:val="0"/>
          <w:sz w:val="28"/>
        </w:rPr>
        <w:t>Si la autoridad contesta, cabe anticipar los argumentos previsibles, que se controvertirán en la ampliación que autoriza el artículo 17, fracción I. El primero consiste en exhibir recibos o comprobantes de pago de la pensión y afirmar, con base en ellos, que el derecho se ha cumplido. Ese razonamiento incurre en la falacia de ignoratio elenchi, que se produce cuando se abandona la cuestión en litigio para introducir otro debate.</w:t>
      </w:r>
      <w:r>
        <w:rPr>
          <w:rFonts w:ascii="Arial" w:hAnsi="Arial"/>
          <w:vertAlign w:val="superscript"/>
        </w:rPr>
        <w:t>4</w:t>
      </w:r>
    </w:p>
    <w:p>
      <w:pPr>
        <w:spacing w:line="360" w:lineRule="auto"/>
        <w:jc w:val="both"/>
      </w:pPr>
      <w:r>
        <w:rPr>
          <w:rFonts w:ascii="Arial" w:hAnsi="Arial"/>
          <w:b w:val="0"/>
          <w:i w:val="0"/>
          <w:sz w:val="28"/>
        </w:rPr>
        <w:t>La cuestión en litigio es si los incrementos se aplicaron en el momento y en la proporción que ordena la ley, y los recibos prueban, a lo sumo, que en cada periodo se pagó una cantidad. Del hecho del pago no se sigue su corrección; un comprobante sin el desglose del cálculo, la fecha de cada incremento y el porcentaje aplicado es inidóneo para acreditarla, como lo apreció la Sala en el caso análogo respecto de comprobantes de pago y de una hoja única de servicios que carecían de esos datos.</w:t>
      </w:r>
    </w:p>
    <w:p>
      <w:pPr>
        <w:spacing w:line="360" w:lineRule="auto"/>
        <w:jc w:val="both"/>
      </w:pPr>
      <w:r>
        <w:rPr>
          <w:rFonts w:ascii="Arial" w:hAnsi="Arial"/>
          <w:b w:val="0"/>
          <w:i w:val="0"/>
          <w:sz w:val="28"/>
        </w:rPr>
        <w:t>El segundo argumento previsible sostiene que la parte actora no demostró que los incrementos fueran incorrectos. Esa respuesta es una falacia ad ignorantiam, que la doctrina describe como la maniobra de inversión de la carga de la prueba que traslada al oponente la responsabilidad de probar la falsedad de lo que uno afirma, en lugar de aportar argumentos.</w:t>
      </w:r>
      <w:r>
        <w:rPr>
          <w:rFonts w:ascii="Arial" w:hAnsi="Arial"/>
          <w:vertAlign w:val="superscript"/>
        </w:rPr>
        <w:t>5</w:t>
      </w:r>
    </w:p>
    <w:p>
      <w:pPr>
        <w:spacing w:line="360" w:lineRule="auto"/>
        <w:jc w:val="both"/>
      </w:pPr>
      <w:r>
        <w:rPr>
          <w:rFonts w:ascii="Arial" w:hAnsi="Arial"/>
          <w:b w:val="0"/>
          <w:i w:val="0"/>
          <w:sz w:val="28"/>
        </w:rPr>
        <w:t>La autoridad pretende que su actuación sea correcta porque nadie ha probado lo contrario, cuando el artículo 42 de la Ley Federal de Procedimiento Contencioso Administrativo le impone probar los hechos que la persona afectada niega lisa y llanamente, y cuando es ella quien conserva la información para hacerlo. Aceptar su argumento premiaría la opacidad: bastaría con no documentar el cálculo para que ninguna persona pensionada pudiera combatirlo.</w:t>
      </w:r>
    </w:p>
    <w:p>
      <w:pPr>
        <w:spacing w:line="360" w:lineRule="auto"/>
        <w:jc w:val="both"/>
      </w:pPr>
      <w:r>
        <w:rPr>
          <w:rFonts w:ascii="Arial" w:hAnsi="Arial"/>
          <w:b w:val="0"/>
          <w:i w:val="0"/>
          <w:sz w:val="28"/>
        </w:rPr>
        <w:t xml:space="preserve">El tercer argumento previsible afirma que los incrementos se calcularon con </w:t>
      </w:r>
      <w:r>
        <w:rPr>
          <w:rFonts w:ascii="Arial" w:hAnsi="Arial"/>
          <w:b/>
          <w:i w:val="0"/>
          <w:sz w:val="28"/>
        </w:rPr>
        <w:t>[PARÁMETRO DE INCREMENTO QUE INVOQUE LA AUTORIDAD]</w:t>
      </w:r>
      <w:r>
        <w:rPr>
          <w:rFonts w:ascii="Arial" w:hAnsi="Arial"/>
          <w:b w:val="0"/>
          <w:i w:val="0"/>
          <w:sz w:val="28"/>
        </w:rPr>
        <w:t xml:space="preserve">, conforme al texto reformado del artículo 57 o a la legislación posterior. Esa defensa confiesa la violación, pues reconoce que la autoridad aplicó a una pensión otorgada el </w:t>
      </w:r>
      <w:r>
        <w:rPr>
          <w:rFonts w:ascii="Arial" w:hAnsi="Arial"/>
          <w:b/>
          <w:i w:val="0"/>
          <w:sz w:val="28"/>
        </w:rPr>
        <w:t>[FECHA DE OTORGAMIENTO DE LA PENSIÓN]</w:t>
      </w:r>
      <w:r>
        <w:rPr>
          <w:rFonts w:ascii="Arial" w:hAnsi="Arial"/>
          <w:b w:val="0"/>
          <w:i w:val="0"/>
          <w:sz w:val="28"/>
        </w:rPr>
        <w:t xml:space="preserve"> una regla inexistente en esa fecha, que modifica en perjuicio de su titular el mecanismo de incremento que integraba su derecho, en contravención del artículo 14, párrafo primero, constitucional.</w:t>
      </w:r>
    </w:p>
    <w:p>
      <w:pPr>
        <w:spacing w:line="360" w:lineRule="auto"/>
        <w:jc w:val="both"/>
      </w:pPr>
      <w:r>
        <w:rPr>
          <w:rFonts w:ascii="Arial" w:hAnsi="Arial"/>
          <w:b w:val="0"/>
          <w:i w:val="0"/>
          <w:sz w:val="28"/>
        </w:rPr>
        <w:t>En los tres escenarios el resultado converge. La negativa ficta niega un derecho cuyo contenido fijó la ley vigente al otorgarse la pensión, no se apoya en hechos ni en fundamentos que la justifiquen y descansa, en su caso, en la aplicación retroactiva de normas posteriores. Se actualiza la causal del artículo 51, fracción IV, de la Ley Federal de Procedimiento Contencioso Administrativo, porque la resolución dejó de aplicar las disposiciones debidas en cuanto al fondo del asunto, señaladamente el artículo 57, párrafo tercero, en el texto que regía cuando se otorgó la pensión.</w:t>
      </w:r>
    </w:p>
    <w:p>
      <w:pPr>
        <w:spacing w:line="360" w:lineRule="auto"/>
        <w:jc w:val="both"/>
      </w:pPr>
      <w:r>
        <w:rPr>
          <w:rFonts w:ascii="Arial" w:hAnsi="Arial"/>
          <w:b/>
          <w:sz w:val="28"/>
        </w:rPr>
        <w:t>V. Conclusión y petición parcial.</w:t>
      </w:r>
    </w:p>
    <w:p>
      <w:pPr>
        <w:spacing w:line="360" w:lineRule="auto"/>
        <w:jc w:val="both"/>
      </w:pPr>
      <w:r>
        <w:rPr>
          <w:rFonts w:ascii="Arial" w:hAnsi="Arial"/>
          <w:b w:val="0"/>
          <w:i w:val="0"/>
          <w:sz w:val="28"/>
        </w:rPr>
        <w:t xml:space="preserve">En suma, la pensión de la parte actora nació bajo el artículo 57, párrafo tercero, de la ley vigente el </w:t>
      </w:r>
      <w:r>
        <w:rPr>
          <w:rFonts w:ascii="Arial" w:hAnsi="Arial"/>
          <w:b/>
          <w:i w:val="0"/>
          <w:sz w:val="28"/>
        </w:rPr>
        <w:t>[FECHA DE OTORGAMIENTO DE LA PENSIÓN]</w:t>
      </w:r>
      <w:r>
        <w:rPr>
          <w:rFonts w:ascii="Arial" w:hAnsi="Arial"/>
          <w:b w:val="0"/>
          <w:i w:val="0"/>
          <w:sz w:val="28"/>
        </w:rPr>
        <w:t>; la regla que ata su incremento al sueldo básico de los trabajadores en activo integra ese derecho adquirido; ninguna reforma posterior puede aplicarse en su perjuicio; y la autoridad, que guardó silencio, es quien debe demostrar que respetó ese parámetro.</w:t>
      </w:r>
    </w:p>
    <w:p>
      <w:pPr>
        <w:spacing w:line="360" w:lineRule="auto"/>
        <w:jc w:val="both"/>
      </w:pPr>
      <w:r>
        <w:rPr>
          <w:rFonts w:ascii="Arial" w:hAnsi="Arial"/>
          <w:b w:val="0"/>
          <w:i w:val="0"/>
          <w:sz w:val="28"/>
        </w:rPr>
        <w:t xml:space="preserve">Por lo expuesto, se solicita declarar fundado este concepto de impugnación y, con apoyo en los artículos 50, 51, fracción IV, y 52, fracción V, inciso a), de la Ley Federal de Procedimiento Contencioso Administrativo, declarar la nulidad de la resolución negativa ficta, reconocer el derecho de la parte actora a que la cuantía de su pensión se incremente al mismo tiempo y en la misma proporción que el sueldo básico de un trabajador en activo de la categoría de </w:t>
      </w:r>
      <w:r>
        <w:rPr>
          <w:rFonts w:ascii="Arial" w:hAnsi="Arial"/>
          <w:b/>
          <w:i w:val="0"/>
          <w:sz w:val="28"/>
        </w:rPr>
        <w:t>[CATEGORÍA O PUESTO DE REFERENCIA]</w:t>
      </w:r>
      <w:r>
        <w:rPr>
          <w:rFonts w:ascii="Arial" w:hAnsi="Arial"/>
          <w:b w:val="0"/>
          <w:i w:val="0"/>
          <w:sz w:val="28"/>
        </w:rPr>
        <w:t xml:space="preserve"> y condenar a la autoridad al pago de las diferencias.</w:t>
      </w:r>
    </w:p>
    <w:p>
      <w:pPr>
        <w:spacing w:line="360" w:lineRule="auto"/>
        <w:jc w:val="both"/>
      </w:pPr>
      <w:r>
        <w:rPr>
          <w:rFonts w:ascii="Arial" w:hAnsi="Arial"/>
          <w:b w:val="0"/>
          <w:i w:val="0"/>
          <w:sz w:val="28"/>
        </w:rPr>
        <w:t xml:space="preserve">La condena debe comprender las diferencias generadas desde </w:t>
      </w:r>
      <w:r>
        <w:rPr>
          <w:rFonts w:ascii="Arial" w:hAnsi="Arial"/>
          <w:b/>
          <w:i w:val="0"/>
          <w:sz w:val="28"/>
        </w:rPr>
        <w:t>[FECHA DESDE LA QUE SE RECLAMAN LAS DIFERENCIAS]</w:t>
      </w:r>
      <w:r>
        <w:rPr>
          <w:rFonts w:ascii="Arial" w:hAnsi="Arial"/>
          <w:b w:val="0"/>
          <w:i w:val="0"/>
          <w:sz w:val="28"/>
        </w:rPr>
        <w:t xml:space="preserve"> y su reflejo en la gratificación anual, sin rebasar los límites que la propia ley aplicable fijaba para la cuantía de las pensiones. Se pide que esta causal de fondo se examine antes que la formal, pues el artículo 50, párrafo segundo, del mismo ordenamiento ordena estudiar primero las causales que puedan llevar a la nulidad lisa y llana, y sólo una decisión sobre el fondo resuelve en su integridad la pretensión deducida.</w:t>
      </w:r>
    </w:p>
    <w:p>
      <w:pPr>
        <w:spacing w:line="360" w:lineRule="auto"/>
        <w:jc w:val="both"/>
      </w:pPr>
      <w:r>
        <w:rPr>
          <w:rFonts w:ascii="Arial" w:hAnsi="Arial"/>
          <w:b w:val="0"/>
          <w:i w:val="0"/>
          <w:sz w:val="28"/>
        </w:rPr>
        <w:t>En forma subsidiaria, si esa Sala estima que los elementos del expediente no bastan para cuantificar las diferencias, se solicita declarar la nulidad con fundamento en los artículos 51, fracción II, y 52, fracción IV, de la citada ley, porque la ausencia total de fundamentación y motivación afectó las defensas de la parte actora y trascendió al sentido de la resolución, al impedirle conocer por qué se le negó lo pedido y con qué cálculo se le ha pagado.</w:t>
      </w:r>
    </w:p>
    <w:p>
      <w:pPr>
        <w:spacing w:line="360" w:lineRule="auto"/>
        <w:jc w:val="both"/>
      </w:pPr>
      <w:r>
        <w:rPr>
          <w:rFonts w:ascii="Arial" w:hAnsi="Arial"/>
          <w:b w:val="0"/>
          <w:i w:val="0"/>
          <w:sz w:val="28"/>
        </w:rPr>
        <w:t>Esa nulidad debe decretarse para el efecto de que la autoridad emita una resolución expresa, fundada y motivada, que precise las fechas y los porcentajes de cada incremento conforme al artículo 57, párrafo tercero, de la ley vigente al otorgarse la pensión, exponga los cálculos y las operaciones aritméticas correspondientes y pague las diferencias que resulten, efectos que coinciden con los que una Sala Regional de este Tribunal fijó en el caso análogo.</w:t>
      </w:r>
    </w:p>
    <w:p>
      <w:pPr>
        <w:spacing w:line="360" w:lineRule="auto"/>
        <w:jc w:val="both"/>
      </w:pPr>
      <w:r>
        <w:rPr>
          <w:rFonts w:ascii="Arial" w:hAnsi="Arial"/>
          <w:b/>
          <w:sz w:val="28"/>
        </w:rPr>
        <w:t>Nota para quien use este machote (suprímase antes de presentar la demanda).</w:t>
      </w:r>
    </w:p>
    <w:p>
      <w:pPr>
        <w:spacing w:line="360" w:lineRule="auto"/>
        <w:jc w:val="both"/>
      </w:pPr>
      <w:r>
        <w:rPr>
          <w:rFonts w:ascii="Arial" w:hAnsi="Arial"/>
          <w:b w:val="0"/>
          <w:i w:val="0"/>
          <w:sz w:val="28"/>
        </w:rPr>
        <w:t>Este concepto se construyó a partir de la sentencia que la Sala Regional de Chiapas del entonces Tribunal Federal de Justicia Fiscal y Administrativa, hoy Tribunal Federal de Justicia Administrativa, dictó el veintiséis de mayo de dos mil dieciséis; no es jurisprudencia ni obliga a otra Sala, y el concepto la menciona sólo como caso análogo. La Sala apoyó la nulidad para efectos en la fracción III del artículo 52 de la ley procesal, derogada en el Diario Oficial de la Federación el 13 de junio de ese año, y por ese motivo el machote pide esos efectos con la fracción IV del mismo artículo, en su texto vigente.</w:t>
      </w:r>
    </w:p>
    <w:p>
      <w:pPr>
        <w:spacing w:line="360" w:lineRule="auto"/>
        <w:jc w:val="both"/>
      </w:pPr>
      <w:r>
        <w:rPr>
          <w:rFonts w:ascii="Arial" w:hAnsi="Arial"/>
          <w:b w:val="0"/>
          <w:i w:val="0"/>
          <w:sz w:val="28"/>
        </w:rPr>
        <w:t>Los preceptos de la Ley Federal de Procedimiento Contencioso Administrativo se invocan conforme a su texto vigente, con la última reforma publicada el 9 de junio de 2026; los de la Ley del Instituto de Seguridad y Servicios Sociales de los Trabajadores del Estado y de la Ley Federal de Procedimiento Administrativo son los que la Sala aplicó en 2016 y pudieron reformarse después. Antes de presentar la demanda, coteja el artículo 57 en el texto que regía cuando se otorgó la pensión y el texto vigente de los demás preceptos invocados.</w:t>
      </w:r>
    </w:p>
    <w:p>
      <w:pPr>
        <w:spacing w:line="360" w:lineRule="auto"/>
        <w:jc w:val="both"/>
      </w:pPr>
      <w:r>
        <w:rPr>
          <w:rFonts w:ascii="Arial" w:hAnsi="Arial"/>
          <w:b w:val="0"/>
          <w:i w:val="0"/>
          <w:sz w:val="28"/>
        </w:rPr>
        <w:t>La ley del Instituto que aplicó la Sala rigió hasta el 31 de marzo de 2007; revisa también el régimen transitorio de la ley que la sustituyó y los criterios vigentes sobre el incremento de las pensiones otorgadas conforme a aquélla.</w:t>
      </w:r>
    </w:p>
    <w:p>
      <w:pPr>
        <w:spacing w:line="360" w:lineRule="auto"/>
        <w:jc w:val="both"/>
      </w:pPr>
      <w:r>
        <w:rPr>
          <w:rFonts w:ascii="Arial" w:hAnsi="Arial"/>
          <w:b w:val="0"/>
          <w:i w:val="0"/>
          <w:sz w:val="28"/>
        </w:rPr>
        <w:t>Si el caso cuenta con un convenio de incorporación que pacte a cargo del Gobierno Federal un pago adicional de gratificación anual, el párrafo del planteamiento que acota la pretensión debe replantearse, pues en el precedente la falta de ese convenio fue la razón para negar los días adicionales.</w:t>
      </w:r>
    </w:p>
    <w:p/>
    <w:p>
      <w:r>
        <w:rPr>
          <w:rFonts w:ascii="Arial" w:hAnsi="Arial"/>
          <w:b/>
          <w:sz w:val="22"/>
        </w:rPr>
        <w:t>NOTAS</w:t>
      </w:r>
    </w:p>
    <w:p>
      <w:pPr>
        <w:spacing w:after="60"/>
        <w:ind w:left="360" w:hanging="360"/>
        <w:jc w:val="both"/>
      </w:pPr>
      <w:r>
        <w:rPr>
          <w:rFonts w:ascii="Arial" w:hAnsi="Arial"/>
          <w:sz w:val="20"/>
          <w:vertAlign w:val="superscript"/>
        </w:rPr>
        <w:t>1</w:t>
      </w:r>
      <w:r>
        <w:rPr>
          <w:sz w:val="20"/>
        </w:rPr>
        <w:t xml:space="preserve"> </w:t>
      </w:r>
      <w:r>
        <w:rPr>
          <w:rFonts w:ascii="Arial" w:hAnsi="Arial"/>
          <w:i w:val="0"/>
          <w:sz w:val="20"/>
        </w:rPr>
        <w:t xml:space="preserve">GUASTINI, Riccardo, </w:t>
      </w:r>
      <w:r>
        <w:rPr>
          <w:rFonts w:ascii="Arial" w:hAnsi="Arial"/>
          <w:i/>
          <w:sz w:val="20"/>
        </w:rPr>
        <w:t>Interpretar y argumentar</w:t>
      </w:r>
      <w:r>
        <w:rPr>
          <w:rFonts w:ascii="Arial" w:hAnsi="Arial"/>
          <w:i w:val="0"/>
          <w:sz w:val="20"/>
        </w:rPr>
        <w:t>, trad. de Silvina Álvarez Medina, Centro de Estudios Políticos y Constitucionales, Madrid, 2014, p. 198.</w:t>
      </w:r>
    </w:p>
    <w:p>
      <w:pPr>
        <w:spacing w:after="60"/>
        <w:ind w:left="360" w:hanging="360"/>
        <w:jc w:val="both"/>
      </w:pPr>
      <w:r>
        <w:rPr>
          <w:rFonts w:ascii="Arial" w:hAnsi="Arial"/>
          <w:sz w:val="20"/>
          <w:vertAlign w:val="superscript"/>
        </w:rPr>
        <w:t>2</w:t>
      </w:r>
      <w:r>
        <w:rPr>
          <w:sz w:val="20"/>
        </w:rPr>
        <w:t xml:space="preserve"> </w:t>
      </w:r>
      <w:r>
        <w:rPr>
          <w:rFonts w:ascii="Arial" w:hAnsi="Arial"/>
          <w:i w:val="0"/>
          <w:sz w:val="20"/>
        </w:rPr>
        <w:t xml:space="preserve">GOMETZ, Gianmarco, </w:t>
      </w:r>
      <w:r>
        <w:rPr>
          <w:rFonts w:ascii="Arial" w:hAnsi="Arial"/>
          <w:i/>
          <w:sz w:val="20"/>
        </w:rPr>
        <w:t>La certeza jurídica como previsibilidad</w:t>
      </w:r>
      <w:r>
        <w:rPr>
          <w:rFonts w:ascii="Arial" w:hAnsi="Arial"/>
          <w:i w:val="0"/>
          <w:sz w:val="20"/>
        </w:rPr>
        <w:t>, trad. de Diego Moreno Cruz y Diego Dei Vecchi, Marcial Pons, Madrid, 2012, p. 252.</w:t>
      </w:r>
    </w:p>
    <w:p>
      <w:pPr>
        <w:spacing w:after="60"/>
        <w:ind w:left="360" w:hanging="360"/>
        <w:jc w:val="both"/>
      </w:pPr>
      <w:r>
        <w:rPr>
          <w:rFonts w:ascii="Arial" w:hAnsi="Arial"/>
          <w:sz w:val="20"/>
          <w:vertAlign w:val="superscript"/>
        </w:rPr>
        <w:t>3</w:t>
      </w:r>
      <w:r>
        <w:rPr>
          <w:sz w:val="20"/>
        </w:rPr>
        <w:t xml:space="preserve"> </w:t>
      </w:r>
      <w:r>
        <w:rPr>
          <w:rFonts w:ascii="Arial" w:hAnsi="Arial"/>
          <w:i w:val="0"/>
          <w:sz w:val="20"/>
        </w:rPr>
        <w:t xml:space="preserve">GAMA LEYVA, Raymundo, </w:t>
      </w:r>
      <w:r>
        <w:rPr>
          <w:rFonts w:ascii="Arial" w:hAnsi="Arial"/>
          <w:i/>
          <w:sz w:val="20"/>
        </w:rPr>
        <w:t>Las presunciones en el derecho. Entre la perplejidad y la fascinación de los juristas</w:t>
      </w:r>
      <w:r>
        <w:rPr>
          <w:rFonts w:ascii="Arial" w:hAnsi="Arial"/>
          <w:i w:val="0"/>
          <w:sz w:val="20"/>
        </w:rPr>
        <w:t>, Tirant lo Blanch, Valencia, 2019, p. 115.</w:t>
      </w:r>
    </w:p>
    <w:p>
      <w:pPr>
        <w:spacing w:after="60"/>
        <w:ind w:left="360" w:hanging="360"/>
        <w:jc w:val="both"/>
      </w:pPr>
      <w:r>
        <w:rPr>
          <w:rFonts w:ascii="Arial" w:hAnsi="Arial"/>
          <w:sz w:val="20"/>
          <w:vertAlign w:val="superscript"/>
        </w:rPr>
        <w:t>4</w:t>
      </w:r>
      <w:r>
        <w:rPr>
          <w:sz w:val="20"/>
        </w:rPr>
        <w:t xml:space="preserve"> </w:t>
      </w:r>
      <w:r>
        <w:rPr>
          <w:rFonts w:ascii="Arial" w:hAnsi="Arial"/>
          <w:i w:val="0"/>
          <w:sz w:val="20"/>
        </w:rPr>
        <w:t xml:space="preserve">MORA RAMIREZ, Rafael, </w:t>
      </w:r>
      <w:r>
        <w:rPr>
          <w:rFonts w:ascii="Arial" w:hAnsi="Arial"/>
          <w:i/>
          <w:sz w:val="20"/>
        </w:rPr>
        <w:t>Para comprender a las falacias</w:t>
      </w:r>
      <w:r>
        <w:rPr>
          <w:rFonts w:ascii="Arial" w:hAnsi="Arial"/>
          <w:i w:val="0"/>
          <w:sz w:val="20"/>
        </w:rPr>
        <w:t>, Acuedu Ediciones, s. f., p. 82.</w:t>
      </w:r>
    </w:p>
    <w:p>
      <w:pPr>
        <w:spacing w:after="60"/>
        <w:ind w:left="360" w:hanging="360"/>
        <w:jc w:val="both"/>
      </w:pPr>
      <w:r>
        <w:rPr>
          <w:rFonts w:ascii="Arial" w:hAnsi="Arial"/>
          <w:sz w:val="20"/>
          <w:vertAlign w:val="superscript"/>
        </w:rPr>
        <w:t>5</w:t>
      </w:r>
      <w:r>
        <w:rPr>
          <w:sz w:val="20"/>
        </w:rPr>
        <w:t xml:space="preserve"> </w:t>
      </w:r>
      <w:r>
        <w:rPr>
          <w:rFonts w:ascii="Arial" w:hAnsi="Arial"/>
          <w:i w:val="0"/>
          <w:sz w:val="20"/>
        </w:rPr>
        <w:t xml:space="preserve">GARCÍA DAMBORENEA, Ricardo, </w:t>
      </w:r>
      <w:r>
        <w:rPr>
          <w:rFonts w:ascii="Arial" w:hAnsi="Arial"/>
          <w:i/>
          <w:sz w:val="20"/>
        </w:rPr>
        <w:t>Diccionario de falacias</w:t>
      </w:r>
      <w:r>
        <w:rPr>
          <w:rFonts w:ascii="Arial" w:hAnsi="Arial"/>
          <w:i w:val="0"/>
          <w:sz w:val="20"/>
        </w:rPr>
        <w:t>, s. f., p. 54.</w:t>
      </w:r>
    </w:p>
    <w:p/>
    <w:p>
      <w:r>
        <w:rPr>
          <w:rFonts w:ascii="Arial" w:hAnsi="Arial"/>
          <w:b/>
          <w:sz w:val="22"/>
        </w:rPr>
        <w:t>BIBLIOGRAFÍA</w:t>
      </w:r>
    </w:p>
    <w:p>
      <w:pPr>
        <w:spacing w:after="60"/>
        <w:ind w:left="360" w:hanging="360"/>
        <w:jc w:val="both"/>
      </w:pPr>
      <w:r>
        <w:rPr>
          <w:rFonts w:ascii="Arial" w:hAnsi="Arial"/>
          <w:i w:val="0"/>
          <w:sz w:val="20"/>
        </w:rPr>
        <w:t xml:space="preserve">GAMA LEYVA, Raymundo, </w:t>
      </w:r>
      <w:r>
        <w:rPr>
          <w:rFonts w:ascii="Arial" w:hAnsi="Arial"/>
          <w:i/>
          <w:sz w:val="20"/>
        </w:rPr>
        <w:t>Las presunciones en el derecho. Entre la perplejidad y la fascinación de los juristas</w:t>
      </w:r>
      <w:r>
        <w:rPr>
          <w:rFonts w:ascii="Arial" w:hAnsi="Arial"/>
          <w:i w:val="0"/>
          <w:sz w:val="20"/>
        </w:rPr>
        <w:t>, Tirant lo Blanch, Valencia, 2019.</w:t>
      </w:r>
    </w:p>
    <w:p>
      <w:pPr>
        <w:spacing w:after="60"/>
        <w:ind w:left="360" w:hanging="360"/>
        <w:jc w:val="both"/>
      </w:pPr>
      <w:r>
        <w:rPr>
          <w:rFonts w:ascii="Arial" w:hAnsi="Arial"/>
          <w:i w:val="0"/>
          <w:sz w:val="20"/>
        </w:rPr>
        <w:t xml:space="preserve">GARCÍA DAMBORENEA, Ricardo, </w:t>
      </w:r>
      <w:r>
        <w:rPr>
          <w:rFonts w:ascii="Arial" w:hAnsi="Arial"/>
          <w:i/>
          <w:sz w:val="20"/>
        </w:rPr>
        <w:t>Diccionario de falacias</w:t>
      </w:r>
      <w:r>
        <w:rPr>
          <w:rFonts w:ascii="Arial" w:hAnsi="Arial"/>
          <w:i w:val="0"/>
          <w:sz w:val="20"/>
        </w:rPr>
        <w:t>, s. f.</w:t>
      </w:r>
    </w:p>
    <w:p>
      <w:pPr>
        <w:spacing w:after="60"/>
        <w:ind w:left="360" w:hanging="360"/>
        <w:jc w:val="both"/>
      </w:pPr>
      <w:r>
        <w:rPr>
          <w:rFonts w:ascii="Arial" w:hAnsi="Arial"/>
          <w:i w:val="0"/>
          <w:sz w:val="20"/>
        </w:rPr>
        <w:t xml:space="preserve">GOMETZ, Gianmarco, </w:t>
      </w:r>
      <w:r>
        <w:rPr>
          <w:rFonts w:ascii="Arial" w:hAnsi="Arial"/>
          <w:i/>
          <w:sz w:val="20"/>
        </w:rPr>
        <w:t>La certeza jurídica como previsibilidad</w:t>
      </w:r>
      <w:r>
        <w:rPr>
          <w:rFonts w:ascii="Arial" w:hAnsi="Arial"/>
          <w:i w:val="0"/>
          <w:sz w:val="20"/>
        </w:rPr>
        <w:t>, trad. de Diego Moreno Cruz y Diego Dei Vecchi, Marcial Pons, Madrid, 2012.</w:t>
      </w:r>
    </w:p>
    <w:p>
      <w:pPr>
        <w:spacing w:after="60"/>
        <w:ind w:left="360" w:hanging="360"/>
        <w:jc w:val="both"/>
      </w:pPr>
      <w:r>
        <w:rPr>
          <w:rFonts w:ascii="Arial" w:hAnsi="Arial"/>
          <w:i w:val="0"/>
          <w:sz w:val="20"/>
        </w:rPr>
        <w:t xml:space="preserve">GUASTINI, Riccardo, </w:t>
      </w:r>
      <w:r>
        <w:rPr>
          <w:rFonts w:ascii="Arial" w:hAnsi="Arial"/>
          <w:i/>
          <w:sz w:val="20"/>
        </w:rPr>
        <w:t>Interpretar y argumentar</w:t>
      </w:r>
      <w:r>
        <w:rPr>
          <w:rFonts w:ascii="Arial" w:hAnsi="Arial"/>
          <w:i w:val="0"/>
          <w:sz w:val="20"/>
        </w:rPr>
        <w:t>, trad. de Silvina Álvarez Medina, Centro de Estudios Políticos y Constitucionales, Madrid, 2014.</w:t>
      </w:r>
    </w:p>
    <w:p>
      <w:pPr>
        <w:spacing w:after="60"/>
        <w:ind w:left="360" w:hanging="360"/>
        <w:jc w:val="both"/>
      </w:pPr>
      <w:r>
        <w:rPr>
          <w:rFonts w:ascii="Arial" w:hAnsi="Arial"/>
          <w:i w:val="0"/>
          <w:sz w:val="20"/>
        </w:rPr>
        <w:t xml:space="preserve">MORA RAMIREZ, Rafael, </w:t>
      </w:r>
      <w:r>
        <w:rPr>
          <w:rFonts w:ascii="Arial" w:hAnsi="Arial"/>
          <w:i/>
          <w:sz w:val="20"/>
        </w:rPr>
        <w:t>Para comprender a las falacias</w:t>
      </w:r>
      <w:r>
        <w:rPr>
          <w:rFonts w:ascii="Arial" w:hAnsi="Arial"/>
          <w:i w:val="0"/>
          <w:sz w:val="20"/>
        </w:rPr>
        <w:t>, Acuedu Ediciones, s. f.</w:t>
      </w:r>
    </w:p>
    <w:sectPr w:rsidR="00FC693F" w:rsidRPr="0006063C" w:rsidSect="00034616">
      <w:footerReference w:type="default" r:id="rId9"/>
      <w:pgSz w:w="12246" w:h="19276"/>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20"/>
      </w:rPr>
      <w:t xml:space="preserve">Página </w:t>
    </w:r>
    <w:r>
      <w:rPr>
        <w:rFonts w:ascii="Arial" w:hAnsi="Arial"/>
        <w:sz w:val="20"/>
      </w:rPr>
      <w:fldChar w:fldCharType="begin"/>
      <w:instrText xml:space="preserve">PAGE</w:instrText>
      <w:fldChar w:fldCharType="end"/>
    </w:r>
    <w:r>
      <w:rPr>
        <w:rFonts w:ascii="Arial" w:hAnsi="Arial"/>
        <w:sz w:val="20"/>
      </w:rPr>
      <w:t xml:space="preserve"> de </w:t>
    </w:r>
    <w:r>
      <w:rPr>
        <w:rFonts w:ascii="Arial" w:hAnsi="Arial"/>
        <w:sz w:val="20"/>
      </w:rPr>
      <w:fldChar w:fldCharType="begin"/>
      <w:instrText xml:space="preserve">NUMPAGES</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