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AMPLIACIÓN DE LA DEMANDA DE NULIDAD TFJA. CARGA DE LA PRUEBA DE LOS INCREMENTOS A LA PENSIÓN DEL ISSSTE</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y léelo completo antes de adaptarlo. Está pensado para la ampliación de la demanda que procede cuando se impugna una negativa ficta (artículo 17, fracción I, de la Ley Federal de Procedimiento Contencioso Administrativo): la autoridad da a conocer sus razones hasta la contestación, y es ahí donde suele negar lisa y llanamente el error. Verifica primero la vía, ordinaria o sumaria, y computa el plazo de la ampliación conforme al artículo 17 y a las reglas de la vía que corresponda.</w:t>
      </w:r>
    </w:p>
    <w:p>
      <w:pPr>
        <w:spacing w:line="360" w:lineRule="auto"/>
        <w:jc w:val="both"/>
      </w:pPr>
      <w:r>
        <w:rPr>
          <w:rFonts w:ascii="Arial" w:hAnsi="Arial"/>
          <w:b w:val="0"/>
          <w:i w:val="0"/>
          <w:sz w:val="24"/>
        </w:rPr>
        <w:t>Si el ISSSTE sí contestó tu petición con una resolución expresa que afirma haber calculado bien los incrementos, traslada el concepto a la demanda inicial y ajusta el apartado II. La demanda de nulidad se presenta dentro de los treinta días siguientes a aquél en que surta efectos la notificación de la resolución impugnada (artículo 13, fracción I, de la ley citada), plazo que también rige en la vía sumaria conforme al artículo 58-2, párrafo tercero.</w:t>
      </w:r>
    </w:p>
    <w:p>
      <w:pPr>
        <w:spacing w:line="360" w:lineRule="auto"/>
        <w:jc w:val="both"/>
      </w:pPr>
      <w:r>
        <w:rPr>
          <w:rFonts w:ascii="Arial" w:hAnsi="Arial"/>
          <w:b w:val="0"/>
          <w:i w:val="0"/>
          <w:sz w:val="24"/>
        </w:rPr>
        <w:t>Antes de llenar los campos, define con documentos la fecha en que se adquirió el derecho a la pensión y el sistema de incremento que el artículo 57 preveía en esa fecha. En el caso que inspira el machote, la Sala desestimó la pretensión de aplicar el sistema de sueldos en activo porque el derecho se adquirió en 2001, cuando regía el del salario mínimo.</w:t>
      </w:r>
    </w:p>
    <w:p>
      <w:pPr>
        <w:spacing w:line="360" w:lineRule="auto"/>
        <w:jc w:val="both"/>
      </w:pPr>
      <w:r>
        <w:rPr>
          <w:rFonts w:ascii="Arial" w:hAnsi="Arial"/>
          <w:b w:val="0"/>
          <w:i w:val="0"/>
          <w:sz w:val="24"/>
        </w:rPr>
        <w:t>Suprime la nota previa antes de presentar, y elimina los párrafos de refutación que no correspondan a lo que efectivamente dijo la autoridad (por ejemplo, el de la falsa analogía si no invocó la naturaleza positiva del acto). No cites el artículo 82 del Código Federal de Procedimientos Civiles como ordenamiento supletorio sin verificarlo: el artículo 1o. de la Ley Federal de Procedimiento Contencioso Administrativo remite hoy al Código Nacional de Procedimientos Civiles y Familiares.</w:t>
      </w:r>
    </w:p>
    <w:p>
      <w:pPr>
        <w:spacing w:line="360" w:lineRule="auto"/>
        <w:jc w:val="both"/>
      </w:pPr>
      <w:r>
        <w:rPr>
          <w:rFonts w:ascii="Arial" w:hAnsi="Arial"/>
          <w:b w:val="0"/>
          <w:i w:val="0"/>
          <w:sz w:val="24"/>
        </w:rPr>
        <w:t>Ten presente el alcance realista: en el caso, la Sala declaró la nulidad para efectos, ordenó ajustar las diferencias al tope legal de la cuota pensionaria y negó la indemnización por daños y perjuicios. Coteja cada precepto con el texto vigente el día en que presentes el escrito.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ampliación (PRIMERO, SEGUNDO…).</w:t>
      </w:r>
    </w:p>
    <w:p>
      <w:pPr>
        <w:spacing w:line="360" w:lineRule="auto"/>
        <w:jc w:val="both"/>
      </w:pPr>
      <w:r>
        <w:rPr>
          <w:rFonts w:ascii="Arial" w:hAnsi="Arial"/>
          <w:b/>
          <w:i w:val="0"/>
          <w:sz w:val="24"/>
        </w:rPr>
        <w:t>[NOMBRE DE LA PARTE ACTORA]</w:t>
      </w:r>
      <w:r>
        <w:rPr>
          <w:rFonts w:ascii="Arial" w:hAnsi="Arial"/>
          <w:b w:val="0"/>
          <w:i w:val="0"/>
          <w:sz w:val="24"/>
        </w:rPr>
        <w:t>: el nombre completo de la persona pensionada que promueve el juicio.</w:t>
      </w:r>
    </w:p>
    <w:p>
      <w:pPr>
        <w:spacing w:line="360" w:lineRule="auto"/>
        <w:jc w:val="both"/>
      </w:pPr>
      <w:r>
        <w:rPr>
          <w:rFonts w:ascii="Arial" w:hAnsi="Arial"/>
          <w:b/>
          <w:i w:val="0"/>
          <w:sz w:val="24"/>
        </w:rPr>
        <w:t>[AUTORIDAD DEMANDADA]</w:t>
      </w:r>
      <w:r>
        <w:rPr>
          <w:rFonts w:ascii="Arial" w:hAnsi="Arial"/>
          <w:b w:val="0"/>
          <w:i w:val="0"/>
          <w:sz w:val="24"/>
        </w:rPr>
        <w:t>: la unidad administrativa del ISSSTE ante la que presentaste la petición, con su denominación completa y vigente.</w:t>
      </w:r>
    </w:p>
    <w:p>
      <w:pPr>
        <w:spacing w:line="360" w:lineRule="auto"/>
        <w:jc w:val="both"/>
      </w:pPr>
      <w:r>
        <w:rPr>
          <w:rFonts w:ascii="Arial" w:hAnsi="Arial"/>
          <w:b/>
          <w:i w:val="0"/>
          <w:sz w:val="24"/>
        </w:rPr>
        <w:t>[FECHA DEL ESCRITO DE PETICIÓN]</w:t>
      </w:r>
      <w:r>
        <w:rPr>
          <w:rFonts w:ascii="Arial" w:hAnsi="Arial"/>
          <w:b w:val="0"/>
          <w:i w:val="0"/>
          <w:sz w:val="24"/>
        </w:rPr>
        <w:t>: la fecha del sello de recibido del escrito en que pediste el ajuste de los incrementos; cópiala del acuse.</w:t>
      </w:r>
    </w:p>
    <w:p>
      <w:pPr>
        <w:spacing w:line="360" w:lineRule="auto"/>
        <w:jc w:val="both"/>
      </w:pPr>
      <w:r>
        <w:rPr>
          <w:rFonts w:ascii="Arial" w:hAnsi="Arial"/>
          <w:b/>
          <w:i w:val="0"/>
          <w:sz w:val="24"/>
        </w:rPr>
        <w:t>[TIPO DE PENSIÓN]</w:t>
      </w:r>
      <w:r>
        <w:rPr>
          <w:rFonts w:ascii="Arial" w:hAnsi="Arial"/>
          <w:b w:val="0"/>
          <w:i w:val="0"/>
          <w:sz w:val="24"/>
        </w:rPr>
        <w:t>: jubilación, retiro por edad y tiempo de servicios, viudez u otra, tal como aparece en la concesión.</w:t>
      </w:r>
    </w:p>
    <w:p>
      <w:pPr>
        <w:spacing w:line="360" w:lineRule="auto"/>
        <w:jc w:val="both"/>
      </w:pPr>
      <w:r>
        <w:rPr>
          <w:rFonts w:ascii="Arial" w:hAnsi="Arial"/>
          <w:b/>
          <w:i w:val="0"/>
          <w:sz w:val="24"/>
        </w:rPr>
        <w:t>[FECHA EN QUE LA PERSONA ACTORA ADQUIRIÓ EL DERECHO A LA PENSIÓN]</w:t>
      </w:r>
      <w:r>
        <w:rPr>
          <w:rFonts w:ascii="Arial" w:hAnsi="Arial"/>
          <w:b w:val="0"/>
          <w:i w:val="0"/>
          <w:sz w:val="24"/>
        </w:rPr>
        <w:t>: la fecha a partir de la cual se concedió la pensión, según el documento de concesión.</w:t>
      </w:r>
    </w:p>
    <w:p>
      <w:pPr>
        <w:spacing w:line="360" w:lineRule="auto"/>
        <w:jc w:val="both"/>
      </w:pPr>
      <w:r>
        <w:rPr>
          <w:rFonts w:ascii="Arial" w:hAnsi="Arial"/>
          <w:b/>
          <w:i w:val="0"/>
          <w:sz w:val="24"/>
        </w:rPr>
        <w:t>[DOCUMENTO QUE ACREDITA LA CONCESIÓN DE LA PENSIÓN]</w:t>
      </w:r>
      <w:r>
        <w:rPr>
          <w:rFonts w:ascii="Arial" w:hAnsi="Arial"/>
          <w:b w:val="0"/>
          <w:i w:val="0"/>
          <w:sz w:val="24"/>
        </w:rPr>
        <w:t>: la concesión de pensión u otro documento público que acredite la fecha, de preferencia en copia certificada.</w:t>
      </w:r>
    </w:p>
    <w:p>
      <w:pPr>
        <w:spacing w:line="360" w:lineRule="auto"/>
        <w:jc w:val="both"/>
      </w:pPr>
      <w:r>
        <w:rPr>
          <w:rFonts w:ascii="Arial" w:hAnsi="Arial"/>
          <w:b/>
          <w:i w:val="0"/>
          <w:sz w:val="24"/>
        </w:rPr>
        <w:t>[SISTEMA DE INCREMENTO APLICABLE SEGÚN LA FECHA DEL DERECHO]</w:t>
      </w:r>
      <w:r>
        <w:rPr>
          <w:rFonts w:ascii="Arial" w:hAnsi="Arial"/>
          <w:b w:val="0"/>
          <w:i w:val="0"/>
          <w:sz w:val="24"/>
        </w:rPr>
        <w:t>: el sistema del artículo 57 que regía en esa fecha (sueldos básicos en activo, salario mínimo o Índice Nacional de Precios al Consumidor), descrito con sus palabras y previa verificación.</w:t>
      </w:r>
    </w:p>
    <w:p>
      <w:pPr>
        <w:spacing w:line="360" w:lineRule="auto"/>
        <w:jc w:val="both"/>
      </w:pPr>
      <w:r>
        <w:rPr>
          <w:rFonts w:ascii="Arial" w:hAnsi="Arial"/>
          <w:b/>
          <w:i w:val="0"/>
          <w:sz w:val="24"/>
        </w:rPr>
        <w:t>[FECHA DE LA CONTESTACIÓN DE LA DEMANDA]</w:t>
      </w:r>
      <w:r>
        <w:rPr>
          <w:rFonts w:ascii="Arial" w:hAnsi="Arial"/>
          <w:b w:val="0"/>
          <w:i w:val="0"/>
          <w:sz w:val="24"/>
        </w:rPr>
        <w:t>: la fecha en que la autoridad presentó su contestación, según el acuerdo que la tuvo por presentada.</w:t>
      </w:r>
    </w:p>
    <w:p>
      <w:pPr>
        <w:spacing w:line="360" w:lineRule="auto"/>
        <w:jc w:val="both"/>
      </w:pPr>
      <w:r>
        <w:rPr>
          <w:rFonts w:ascii="Arial" w:hAnsi="Arial"/>
          <w:b/>
          <w:i w:val="0"/>
          <w:sz w:val="24"/>
        </w:rPr>
        <w:t>[TRANSCRIPCIÓN DEL PASAJE DE LA CONTESTACIÓN EN QUE LA AUTORIDAD NIEGA LISA Y LLANAMENTE HABER CALCULADO MAL LOS INCREMENTOS]</w:t>
      </w:r>
      <w:r>
        <w:rPr>
          <w:rFonts w:ascii="Arial" w:hAnsi="Arial"/>
          <w:b w:val="0"/>
          <w:i w:val="0"/>
          <w:sz w:val="24"/>
        </w:rPr>
        <w:t>: copia literal, entre comillas, el párrafo de la contestación en que la autoridad niega el error y te atribuye la carga de la prueba.</w:t>
      </w:r>
    </w:p>
    <w:p>
      <w:pPr>
        <w:spacing w:line="360" w:lineRule="auto"/>
        <w:jc w:val="both"/>
      </w:pPr>
      <w:r>
        <w:rPr>
          <w:rFonts w:ascii="Arial" w:hAnsi="Arial"/>
          <w:b/>
          <w:i w:val="0"/>
          <w:sz w:val="24"/>
        </w:rPr>
        <w:t>[PRUEBAS ADICIONALES QUE OBRAN EN AUTOS]</w:t>
      </w:r>
      <w:r>
        <w:rPr>
          <w:rFonts w:ascii="Arial" w:hAnsi="Arial"/>
          <w:b w:val="0"/>
          <w:i w:val="0"/>
          <w:sz w:val="24"/>
        </w:rPr>
        <w:t>: talones o recibos de pago, constancias de percepciones u otras pruebas que ya obren en el expediente; si no hay, suprime esa oración.</w:t>
      </w:r>
    </w:p>
    <w:p/>
    <w:p>
      <w:pPr>
        <w:spacing w:line="360" w:lineRule="auto"/>
        <w:jc w:val="both"/>
      </w:pPr>
      <w:r>
        <w:rPr>
          <w:rFonts w:ascii="Arial" w:hAnsi="Arial"/>
          <w:b/>
          <w:i w:val="0"/>
          <w:sz w:val="28"/>
        </w:rPr>
        <w:t>Nota previa de uso (suprímase antes de presentar).</w:t>
      </w:r>
      <w:r>
        <w:rPr>
          <w:rFonts w:ascii="Arial" w:hAnsi="Arial"/>
          <w:b w:val="0"/>
          <w:i w:val="0"/>
          <w:sz w:val="28"/>
        </w:rPr>
        <w:t xml:space="preserve"> Este concepto se construyó a partir de la sentencia que una Sala Regional del entonces Tribunal Federal de Justicia Fiscal y Administrativa, hoy Tribunal Federal de Justicia Administrativa, dictó el doce de febrero de dos mil dieciséis en un juicio contra la negativa ficta del ISSSTE. Varios preceptos que aquel fallo aplicó se reformaron después; las transcripciones de la Ley Federal de Procedimiento Contencioso Administrativo siguen su texto con la reforma publicada el 9 de junio de 2026, y quien lo use debe cotejar el texto vigente el día en que lo presente.</w:t>
      </w:r>
    </w:p>
    <w:p>
      <w:pPr>
        <w:spacing w:line="360" w:lineRule="auto"/>
        <w:jc w:val="both"/>
      </w:pPr>
      <w:r>
        <w:rPr>
          <w:rFonts w:ascii="Arial" w:hAnsi="Arial"/>
          <w:b/>
          <w:sz w:val="28"/>
        </w:rPr>
        <w:t>[NÚMERO ORDINAL DEL CONCEPTO] CONCEPTO DE IMPUGNACIÓN DE LA AMPLIACIÓN DE LA DEMANDA. La negativa lisa y llana con que el Instituto de Seguridad y Servicios Sociales de los Trabajadores del Estado defiende la negativa ficta no traslada a la persona pensionada la carga de probar que sus incrementos se calcularon mal; corresponde al Instituto demostrar el fundamento, las fechas, los porcentajes y las operaciones de cada incremento, y al no hacerlo se actualiza la causal de nulidad del artículo 51, fracción II,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negativa ficta recaída al escrito que </w:t>
      </w:r>
      <w:r>
        <w:rPr>
          <w:rFonts w:ascii="Arial" w:hAnsi="Arial"/>
          <w:b/>
          <w:i w:val="0"/>
          <w:sz w:val="28"/>
        </w:rPr>
        <w:t>[NOMBRE DE LA PARTE ACTORA]</w:t>
      </w:r>
      <w:r>
        <w:rPr>
          <w:rFonts w:ascii="Arial" w:hAnsi="Arial"/>
          <w:b w:val="0"/>
          <w:i w:val="0"/>
          <w:sz w:val="28"/>
        </w:rPr>
        <w:t xml:space="preserve"> presentó ante la </w:t>
      </w:r>
      <w:r>
        <w:rPr>
          <w:rFonts w:ascii="Arial" w:hAnsi="Arial"/>
          <w:b/>
          <w:i w:val="0"/>
          <w:sz w:val="28"/>
        </w:rPr>
        <w:t>[AUTORIDAD DEMANDADA]</w:t>
      </w:r>
      <w:r>
        <w:rPr>
          <w:rFonts w:ascii="Arial" w:hAnsi="Arial"/>
          <w:b w:val="0"/>
          <w:i w:val="0"/>
          <w:sz w:val="28"/>
        </w:rPr>
        <w:t xml:space="preserve"> el </w:t>
      </w:r>
      <w:r>
        <w:rPr>
          <w:rFonts w:ascii="Arial" w:hAnsi="Arial"/>
          <w:b/>
          <w:i w:val="0"/>
          <w:sz w:val="28"/>
        </w:rPr>
        <w:t>[FECHA DEL ESCRITO DE PETICIÓN]</w:t>
      </w:r>
      <w:r>
        <w:rPr>
          <w:rFonts w:ascii="Arial" w:hAnsi="Arial"/>
          <w:b w:val="0"/>
          <w:i w:val="0"/>
          <w:sz w:val="28"/>
        </w:rPr>
        <w:t xml:space="preserve">, por el que solicitó que su pensión de </w:t>
      </w:r>
      <w:r>
        <w:rPr>
          <w:rFonts w:ascii="Arial" w:hAnsi="Arial"/>
          <w:b/>
          <w:i w:val="0"/>
          <w:sz w:val="28"/>
        </w:rPr>
        <w:t>[TIPO DE PENSIÓN]</w:t>
      </w:r>
      <w:r>
        <w:rPr>
          <w:rFonts w:ascii="Arial" w:hAnsi="Arial"/>
          <w:b w:val="0"/>
          <w:i w:val="0"/>
          <w:sz w:val="28"/>
        </w:rPr>
        <w:t xml:space="preserve"> se incrementara conforme al artículo 57 de la ley del Instituto vigente en la fecha en que adquirió el derecho, y que se le pagaran las diferencias resultantes, carece de fundamentación y motivación, porque la autoridad, al contestar la demanda, se limitó a negar lisa y llanamente haber calculado mal los incrementos, sin exhibir un solo dato que permita verificarlos.</w:t>
      </w:r>
    </w:p>
    <w:p>
      <w:pPr>
        <w:spacing w:line="360" w:lineRule="auto"/>
        <w:jc w:val="both"/>
      </w:pPr>
      <w:r>
        <w:rPr>
          <w:rFonts w:ascii="Arial" w:hAnsi="Arial"/>
          <w:b w:val="0"/>
          <w:i w:val="0"/>
          <w:sz w:val="28"/>
        </w:rPr>
        <w:t>La demostración descansa en una premisa normativa precisa: en el juicio contencioso administrativo federal la distribución de la carga de la prueba la fijan los artículos 40 y 42 de la Ley Federal de Procedimiento Contencioso Administrativo, y ninguna de las partes puede reasignarla a su conveniencia. Conforme a ellos, quien afirma que los incrementos se hicieron correctamente debe probarlo, y esa afirmación es del Instituto; la persona pensionada sostiene un hecho negativo y no está obligada a demostrar lo que el Instituto omitió hacer.</w:t>
      </w:r>
    </w:p>
    <w:p>
      <w:pPr>
        <w:spacing w:line="360" w:lineRule="auto"/>
        <w:jc w:val="both"/>
      </w:pPr>
      <w:r>
        <w:rPr>
          <w:rFonts w:ascii="Arial" w:hAnsi="Arial"/>
          <w:b w:val="0"/>
          <w:i w:val="0"/>
          <w:sz w:val="28"/>
        </w:rPr>
        <w:t>Si esa distribución se respeta, la conclusión es inevitable: ante la falta de prueba de la autoridad, la negativa ficta queda sin sustento y procede declarar su nulidad para el efecto de que se emita una nueva resolución, fundada y motivada, que determine los incrementos conforme al sistema legal aplicable y cubra las diferencias que resulten, en términos de los artículos 51, fracción II, y 52, fracción IV, del mismo ordenamiento.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impugnado es la resolución negativa ficta configurada respecto del escrito presentado el </w:t>
      </w:r>
      <w:r>
        <w:rPr>
          <w:rFonts w:ascii="Arial" w:hAnsi="Arial"/>
          <w:b/>
          <w:i w:val="0"/>
          <w:sz w:val="28"/>
        </w:rPr>
        <w:t>[FECHA DEL ESCRITO DE PETICIÓN]</w:t>
      </w:r>
      <w:r>
        <w:rPr>
          <w:rFonts w:ascii="Arial" w:hAnsi="Arial"/>
          <w:b w:val="0"/>
          <w:i w:val="0"/>
          <w:sz w:val="28"/>
        </w:rPr>
        <w:t xml:space="preserve">, cuyos fundamentos y motivos la </w:t>
      </w:r>
      <w:r>
        <w:rPr>
          <w:rFonts w:ascii="Arial" w:hAnsi="Arial"/>
          <w:b/>
          <w:i w:val="0"/>
          <w:sz w:val="28"/>
        </w:rPr>
        <w:t>[AUTORIDAD DEMANDADA]</w:t>
      </w:r>
      <w:r>
        <w:rPr>
          <w:rFonts w:ascii="Arial" w:hAnsi="Arial"/>
          <w:b w:val="0"/>
          <w:i w:val="0"/>
          <w:sz w:val="28"/>
        </w:rPr>
        <w:t xml:space="preserve"> dio a conocer hasta la contestación de la demanda, presentada el </w:t>
      </w:r>
      <w:r>
        <w:rPr>
          <w:rFonts w:ascii="Arial" w:hAnsi="Arial"/>
          <w:b/>
          <w:i w:val="0"/>
          <w:sz w:val="28"/>
        </w:rPr>
        <w:t>[FECHA DE LA CONTESTACIÓN DE LA DEMANDA]</w:t>
      </w:r>
      <w:r>
        <w:rPr>
          <w:rFonts w:ascii="Arial" w:hAnsi="Arial"/>
          <w:b w:val="0"/>
          <w:i w:val="0"/>
          <w:sz w:val="28"/>
        </w:rPr>
        <w:t>. Por esa razón este concepto se formula en la ampliación que autoriza el artículo 17, fracción I, de la Ley Federal de Procedimiento Contencioso Administrativo para los casos en que se impugne una negativa ficta.</w:t>
      </w:r>
    </w:p>
    <w:p>
      <w:pPr>
        <w:spacing w:line="360" w:lineRule="auto"/>
        <w:jc w:val="both"/>
      </w:pPr>
      <w:r>
        <w:rPr>
          <w:rFonts w:ascii="Arial" w:hAnsi="Arial"/>
          <w:b w:val="0"/>
          <w:i w:val="0"/>
          <w:sz w:val="28"/>
        </w:rPr>
        <w:t xml:space="preserve">Los hechos de base constan en documento público. La persona actora es titular de una pensión de </w:t>
      </w:r>
      <w:r>
        <w:rPr>
          <w:rFonts w:ascii="Arial" w:hAnsi="Arial"/>
          <w:b/>
          <w:i w:val="0"/>
          <w:sz w:val="28"/>
        </w:rPr>
        <w:t>[TIPO DE PENSIÓN]</w:t>
      </w:r>
      <w:r>
        <w:rPr>
          <w:rFonts w:ascii="Arial" w:hAnsi="Arial"/>
          <w:b w:val="0"/>
          <w:i w:val="0"/>
          <w:sz w:val="28"/>
        </w:rPr>
        <w:t xml:space="preserve"> concedida con efectos a partir del </w:t>
      </w:r>
      <w:r>
        <w:rPr>
          <w:rFonts w:ascii="Arial" w:hAnsi="Arial"/>
          <w:b/>
          <w:i w:val="0"/>
          <w:sz w:val="28"/>
        </w:rPr>
        <w:t>[FECHA EN QUE LA PERSONA ACTORA ADQUIRIÓ EL DERECHO A LA PENSIÓN]</w:t>
      </w:r>
      <w:r>
        <w:rPr>
          <w:rFonts w:ascii="Arial" w:hAnsi="Arial"/>
          <w:b w:val="0"/>
          <w:i w:val="0"/>
          <w:sz w:val="28"/>
        </w:rPr>
        <w:t xml:space="preserve">, como lo acredita </w:t>
      </w:r>
      <w:r>
        <w:rPr>
          <w:rFonts w:ascii="Arial" w:hAnsi="Arial"/>
          <w:b/>
          <w:i w:val="0"/>
          <w:sz w:val="28"/>
        </w:rPr>
        <w:t>[DOCUMENTO QUE ACREDITA LA CONCESIÓN DE LA PENSIÓN]</w:t>
      </w:r>
      <w:r>
        <w:rPr>
          <w:rFonts w:ascii="Arial" w:hAnsi="Arial"/>
          <w:b w:val="0"/>
          <w:i w:val="0"/>
          <w:sz w:val="28"/>
        </w:rPr>
        <w:t xml:space="preserve">, exhibido con la demanda. En esa fecha el derecho ingresó a su patrimonio junto con el sistema de incremento que entonces preveía el artículo 57 de la ley del Instituto, consistente en </w:t>
      </w:r>
      <w:r>
        <w:rPr>
          <w:rFonts w:ascii="Arial" w:hAnsi="Arial"/>
          <w:b/>
          <w:i w:val="0"/>
          <w:sz w:val="28"/>
        </w:rPr>
        <w:t>[SISTEMA DE INCREMENTO APLICABLE SEGÚN LA FECHA DEL DERECHO]</w:t>
      </w:r>
      <w:r>
        <w:rPr>
          <w:rFonts w:ascii="Arial" w:hAnsi="Arial"/>
          <w:b w:val="0"/>
          <w:i w:val="0"/>
          <w:sz w:val="28"/>
        </w:rPr>
        <w:t>.</w:t>
      </w:r>
    </w:p>
    <w:p>
      <w:pPr>
        <w:spacing w:line="360" w:lineRule="auto"/>
        <w:jc w:val="both"/>
      </w:pPr>
      <w:r>
        <w:rPr>
          <w:rFonts w:ascii="Arial" w:hAnsi="Arial"/>
          <w:b w:val="0"/>
          <w:i w:val="0"/>
          <w:sz w:val="28"/>
        </w:rPr>
        <w:t>Las normas cuya inobservancia se plantea son los artículos 14, primer párrafo, y 16, primer párrafo, de la Constitución Política de los Estados Unidos Mexicanos, que prohíben dar efecto retroactivo a una ley en perjuicio de persona alguna y exigen que todo acto de molestia se funde y motive; el artículo 57 de la ley del Instituto, en el texto vigente en la fecha del derecho; y los artículos 20, fracción III, 22, segundo párrafo, 40 y 42 de la Ley Federal de Procedimiento Contencioso Administrativo, que regulan la contestación y la carga de la prueba.</w:t>
      </w:r>
    </w:p>
    <w:p>
      <w:pPr>
        <w:spacing w:line="360" w:lineRule="auto"/>
        <w:jc w:val="both"/>
      </w:pPr>
      <w:r>
        <w:rPr>
          <w:rFonts w:ascii="Arial" w:hAnsi="Arial"/>
          <w:b w:val="0"/>
          <w:i w:val="0"/>
          <w:sz w:val="28"/>
        </w:rPr>
        <w:t>El perjuicio es directo y se renueva con cada pago. Si los incrementos no se calcularon con el sistema aplicable, la cuantía de la pensión, que es el ingreso con que la persona actora subsiste, se ha rezagado periodo tras periodo, y la postura de la autoridad le impide conocer en qué fechas, con qué porcentajes y mediante qué operaciones se determinó la cantidad que hoy recibe. De prosperar este concepto, el beneficio consiste en una resolución nueva que exhiba y corrija ese cálculo.</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Conviene partir del sistema legal de distribución probatoria. El artículo 40 de la Ley Federal de Procedimiento Contencioso Administrativo dispone que la persona actora que pretende se reconozca o se haga efectivo un derecho subjetivo </w:t>
      </w:r>
      <w:r>
        <w:rPr>
          <w:rFonts w:ascii="Arial" w:hAnsi="Arial"/>
          <w:b w:val="0"/>
          <w:i/>
          <w:sz w:val="28"/>
        </w:rPr>
        <w:t>“deberá probar los hechos de los que deriva su derecho y la violación del mismo, cuando ésta consista en hechos positivos y la persona demandada de sus excepciones”</w:t>
      </w:r>
      <w:r>
        <w:rPr>
          <w:rFonts w:ascii="Arial" w:hAnsi="Arial"/>
          <w:b w:val="0"/>
          <w:i w:val="0"/>
          <w:sz w:val="28"/>
        </w:rPr>
        <w:t>. La carga de la actora queda acotada por el propio texto a los hechos positivos, y la de la demandada se extiende a sus excepciones.</w:t>
      </w:r>
    </w:p>
    <w:p>
      <w:pPr>
        <w:spacing w:line="360" w:lineRule="auto"/>
        <w:jc w:val="both"/>
      </w:pPr>
      <w:r>
        <w:rPr>
          <w:rFonts w:ascii="Arial" w:hAnsi="Arial"/>
          <w:b w:val="0"/>
          <w:i w:val="0"/>
          <w:sz w:val="28"/>
        </w:rPr>
        <w:t xml:space="preserve">El artículo 42 completa la regla: </w:t>
      </w:r>
      <w:r>
        <w:rPr>
          <w:rFonts w:ascii="Arial" w:hAnsi="Arial"/>
          <w:b w:val="0"/>
          <w:i/>
          <w:sz w:val="28"/>
        </w:rPr>
        <w:t>“Las resoluciones y actos administrativos se presumirán legales. Sin embargo, las autoridades deberán probar los hechos que los motiven cuando la persona afectada los niegue lisa y llanamente, a menos que la negativa implique la afirmación de otro hecho.”</w:t>
      </w:r>
      <w:r>
        <w:rPr>
          <w:rFonts w:ascii="Arial" w:hAnsi="Arial"/>
          <w:b w:val="0"/>
          <w:i w:val="0"/>
          <w:sz w:val="28"/>
        </w:rPr>
        <w:t xml:space="preserve"> La presunción de legalidad, por consiguiente, cede en cuanto el particular niega de modo liso y llano los hechos que motivan el acto, y la carga de acreditarlos regresa a la autoridad que los invoca.</w:t>
      </w:r>
    </w:p>
    <w:p>
      <w:pPr>
        <w:spacing w:line="360" w:lineRule="auto"/>
        <w:jc w:val="both"/>
      </w:pPr>
      <w:r>
        <w:rPr>
          <w:rFonts w:ascii="Arial" w:hAnsi="Arial"/>
          <w:b w:val="0"/>
          <w:i w:val="0"/>
          <w:sz w:val="28"/>
        </w:rPr>
        <w:t>La doctrina que ha estudiado la asignación de la carga de la prueba advierte que, aunque no existe un criterio único válido para todos los procesos, esa asignación dista de ser discrecional, pues responde a reglas estables y previsibles, fijadas de antemano por el derecho, que no cambian durante el juicio.</w:t>
      </w:r>
      <w:r>
        <w:rPr>
          <w:rFonts w:ascii="Arial" w:hAnsi="Arial"/>
          <w:vertAlign w:val="superscript"/>
        </w:rPr>
        <w:t>1</w:t>
      </w:r>
      <w:r>
        <w:rPr>
          <w:rFonts w:ascii="Arial" w:hAnsi="Arial"/>
          <w:b w:val="0"/>
          <w:i w:val="0"/>
          <w:sz w:val="28"/>
        </w:rPr>
        <w:t xml:space="preserve"> En el juicio contencioso administrativo federal esas reglas son las de los artículos 40 y 42 transcritos, y la autoridad no puede reescribirlas al contestar la demanda.</w:t>
      </w:r>
    </w:p>
    <w:p>
      <w:pPr>
        <w:spacing w:line="360" w:lineRule="auto"/>
        <w:jc w:val="both"/>
      </w:pPr>
      <w:r>
        <w:rPr>
          <w:rFonts w:ascii="Arial" w:hAnsi="Arial"/>
          <w:b w:val="0"/>
          <w:i w:val="0"/>
          <w:sz w:val="28"/>
        </w:rPr>
        <w:t>La propia presunción de legalidad debe entenderse en sus justos términos. Un sector amplio de la doctrina sostiene que las presunciones que el legislador formula sin condicionarlas a la prueba de un hecho base tienen como función asignar a la contraparte la carga de probar el hecho contrario, de modo que operan como reglas de distribución probatoria.</w:t>
      </w:r>
      <w:r>
        <w:rPr>
          <w:rFonts w:ascii="Arial" w:hAnsi="Arial"/>
          <w:vertAlign w:val="superscript"/>
        </w:rPr>
        <w:t>2</w:t>
      </w:r>
      <w:r>
        <w:rPr>
          <w:rFonts w:ascii="Arial" w:hAnsi="Arial"/>
          <w:b w:val="0"/>
          <w:i w:val="0"/>
          <w:sz w:val="28"/>
        </w:rPr>
        <w:t xml:space="preserve"> Así funciona la del artículo 42: reparte la carga, y el mismo precepto señala el punto en que la devuelve a la autoridad, que es la negativa lisa y llana del particular.</w:t>
      </w:r>
    </w:p>
    <w:p>
      <w:pPr>
        <w:spacing w:line="360" w:lineRule="auto"/>
        <w:jc w:val="both"/>
      </w:pPr>
      <w:r>
        <w:rPr>
          <w:rFonts w:ascii="Arial" w:hAnsi="Arial"/>
          <w:b w:val="0"/>
          <w:i w:val="0"/>
          <w:sz w:val="28"/>
        </w:rPr>
        <w:t xml:space="preserve">A esas reglas se suman las que rigen la contestación. El artículo 20, fracción III, de la Ley Federal de Procedimiento Contencioso Administrativo obliga a la persona demandada a referirse concretamente a cada hecho que se le impute, </w:t>
      </w:r>
      <w:r>
        <w:rPr>
          <w:rFonts w:ascii="Arial" w:hAnsi="Arial"/>
          <w:b w:val="0"/>
          <w:i/>
          <w:sz w:val="28"/>
        </w:rPr>
        <w:t>“afirmándolos, negándolos, expresando que los ignora por no ser propios o exponiendo cómo ocurrieron, según sea el caso”</w:t>
      </w:r>
      <w:r>
        <w:rPr>
          <w:rFonts w:ascii="Arial" w:hAnsi="Arial"/>
          <w:b w:val="0"/>
          <w:i w:val="0"/>
          <w:sz w:val="28"/>
        </w:rPr>
        <w:t xml:space="preserve">; y, tratándose de negativa ficta, el artículo 22, segundo párrafo, ordena que la autoridad exprese </w:t>
      </w:r>
      <w:r>
        <w:rPr>
          <w:rFonts w:ascii="Arial" w:hAnsi="Arial"/>
          <w:b w:val="0"/>
          <w:i/>
          <w:sz w:val="28"/>
        </w:rPr>
        <w:t>“los hechos y el derecho en que se apoya la misma”</w:t>
      </w:r>
      <w:r>
        <w:rPr>
          <w:rFonts w:ascii="Arial" w:hAnsi="Arial"/>
          <w:b w:val="0"/>
          <w:i w:val="0"/>
          <w:sz w:val="28"/>
        </w:rPr>
        <w:t>.</w:t>
      </w:r>
    </w:p>
    <w:p>
      <w:pPr>
        <w:spacing w:line="360" w:lineRule="auto"/>
        <w:jc w:val="both"/>
      </w:pPr>
      <w:r>
        <w:rPr>
          <w:rFonts w:ascii="Arial" w:hAnsi="Arial"/>
          <w:b w:val="0"/>
          <w:i w:val="0"/>
          <w:sz w:val="28"/>
        </w:rPr>
        <w:t>Esta última exigencia tiene un contenido preciso. La contestación de la demanda promovida contra una negativa ficta es el momento en que la autoridad da a conocer las razones de su silencio, de manera que en ella debe cumplir la carga de fundar y motivar que no satisfizo al resolver la petición. La doctrina distingue la motivación formal, que expresa las normas y razones del acto, de la motivación material, que atiende a si esas razones conducen realmente a la consecuencia adoptada, y recuerda que motivar una decisión obliga a quien la toma a tener razones.</w:t>
      </w:r>
      <w:r>
        <w:rPr>
          <w:rFonts w:ascii="Arial" w:hAnsi="Arial"/>
          <w:vertAlign w:val="superscript"/>
        </w:rPr>
        <w:t>3</w:t>
      </w:r>
    </w:p>
    <w:p>
      <w:pPr>
        <w:spacing w:line="360" w:lineRule="auto"/>
        <w:jc w:val="both"/>
      </w:pPr>
      <w:r>
        <w:rPr>
          <w:rFonts w:ascii="Arial" w:hAnsi="Arial"/>
          <w:b w:val="0"/>
          <w:i w:val="0"/>
          <w:sz w:val="28"/>
        </w:rPr>
        <w:t>Trasladado a la materia de pensiones, ese deber tiene un contenido aritmético verificable. El párrafo tercero del artículo 57 de la Ley del Instituto de Seguridad y Servicios Sociales de los Trabajadores del Estado publicada en el Diario Oficial de la Federación el 27 de diciembre de 1983 tuvo textos sucesivos. Hasta el 4 de enero de 1993, las pensiones aumentaban al mismo tiempo y en la misma proporción que los sueldos básicos de los trabajadores en activo; del 5 de enero de 1993 al 31 de diciembre de 2001, conforme aumentara el salario mínimo general para el Distrito Federal.</w:t>
      </w:r>
    </w:p>
    <w:p>
      <w:pPr>
        <w:spacing w:line="360" w:lineRule="auto"/>
        <w:jc w:val="both"/>
      </w:pPr>
      <w:r>
        <w:rPr>
          <w:rFonts w:ascii="Arial" w:hAnsi="Arial"/>
          <w:b w:val="0"/>
          <w:i w:val="0"/>
          <w:sz w:val="28"/>
        </w:rPr>
        <w:t>A partir del 1 de enero de 2002, el aumento pasó a ser anual, conforme al incremento que en el año calendario anterior hubiese tenido el Índice Nacional de Precios al Consumidor, con la regla de ajuste que el mismo decreto de reforma incorporó al precepto para cuando ese índice resultara inferior a los aumentos de los sueldos básicos en activo, hasta la abrogación de aquella ley por la publicada en el Diario Oficial de la Federación el 31 de marzo de 2007.</w:t>
      </w:r>
    </w:p>
    <w:p>
      <w:pPr>
        <w:spacing w:line="360" w:lineRule="auto"/>
        <w:jc w:val="both"/>
      </w:pPr>
      <w:r>
        <w:rPr>
          <w:rFonts w:ascii="Arial" w:hAnsi="Arial"/>
          <w:b w:val="0"/>
          <w:i w:val="0"/>
          <w:sz w:val="28"/>
        </w:rPr>
        <w:t xml:space="preserve">Cuál de esos sistemas rige depende de la fecha en que se adquirió el derecho, porque el artículo 14, primer párrafo, constitucional dispone que </w:t>
      </w:r>
      <w:r>
        <w:rPr>
          <w:rFonts w:ascii="Arial" w:hAnsi="Arial"/>
          <w:b w:val="0"/>
          <w:i/>
          <w:sz w:val="28"/>
        </w:rPr>
        <w:t>“A ninguna ley se dará efecto retroactivo en perjuicio de persona alguna.”</w:t>
      </w:r>
    </w:p>
    <w:p>
      <w:pPr>
        <w:spacing w:line="360" w:lineRule="auto"/>
        <w:jc w:val="both"/>
      </w:pPr>
      <w:r>
        <w:rPr>
          <w:rFonts w:ascii="Arial" w:hAnsi="Arial"/>
          <w:b w:val="0"/>
          <w:i w:val="0"/>
          <w:sz w:val="28"/>
        </w:rPr>
        <w:t>Así lo reconoció una Sala Regional de este Tribunal al resolver en 2016 un caso análogo, cuyo criterio se invoca como orientador: el incremento de la cuota pensionaria se rige por el texto del artículo 57 vigente cuando se adquirió el derecho, y su aplicación exige precisar las fechas y los porcentajes de aumento del parámetro legal, sus fechas de publicación en el Diario Oficial de la Federación y las operaciones con que se determinó cada incremento.</w:t>
      </w:r>
    </w:p>
    <w:p>
      <w:pPr>
        <w:spacing w:line="360" w:lineRule="auto"/>
        <w:jc w:val="both"/>
      </w:pPr>
      <w:r>
        <w:rPr>
          <w:rFonts w:ascii="Arial" w:hAnsi="Arial"/>
          <w:b w:val="0"/>
          <w:i w:val="0"/>
          <w:sz w:val="28"/>
        </w:rPr>
        <w:t>Hay, por último, una razón de disponibilidad probatoria que refuerza la regla legal. La doctrina distingue entre la carga de la prueba en sentido estricto, que define qué parte resulta perjudicada si el hecho no se prueba, y la carga de aportar pruebas, que puede recaer sobre la contraparte cuando a ella le resulta más fácil aportarlas o cuando se sabe que están en su poder.</w:t>
      </w:r>
      <w:r>
        <w:rPr>
          <w:rFonts w:ascii="Arial" w:hAnsi="Arial"/>
          <w:vertAlign w:val="superscript"/>
        </w:rPr>
        <w:t>4</w:t>
      </w:r>
      <w:r>
        <w:rPr>
          <w:rFonts w:ascii="Arial" w:hAnsi="Arial"/>
          <w:b w:val="0"/>
          <w:i w:val="0"/>
          <w:sz w:val="28"/>
        </w:rPr>
        <w:t xml:space="preserve"> Los registros de nómina, los porcentajes aplicados y las fechas de cada incremento obran en los archivos del Instituto, que es el obligado por ley a calcularlos y pagarlos.</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con exactitud en la premisa expuesta. En su escrito del </w:t>
      </w:r>
      <w:r>
        <w:rPr>
          <w:rFonts w:ascii="Arial" w:hAnsi="Arial"/>
          <w:b/>
          <w:i w:val="0"/>
          <w:sz w:val="28"/>
        </w:rPr>
        <w:t>[FECHA DEL ESCRITO DE PETICIÓN]</w:t>
      </w:r>
      <w:r>
        <w:rPr>
          <w:rFonts w:ascii="Arial" w:hAnsi="Arial"/>
          <w:b w:val="0"/>
          <w:i w:val="0"/>
          <w:sz w:val="28"/>
        </w:rPr>
        <w:t>, la persona actora pidió expresamente que su pensión se incrementara conforme al artículo 57 vigente en la fecha de su derecho y que se le pagaran las diferencias. La negativa ficta que se configuró ante el silencio de la autoridad equivale a una respuesta desfavorable a esa petición, y supone que el Instituto tiene por ajustados a la ley los incrementos que ha otorgado.</w:t>
      </w:r>
    </w:p>
    <w:p>
      <w:pPr>
        <w:spacing w:line="360" w:lineRule="auto"/>
        <w:jc w:val="both"/>
      </w:pPr>
      <w:r>
        <w:rPr>
          <w:rFonts w:ascii="Arial" w:hAnsi="Arial"/>
          <w:b w:val="0"/>
          <w:i w:val="0"/>
          <w:sz w:val="28"/>
        </w:rPr>
        <w:t xml:space="preserve">Al contestar la demanda, sin embargo, la </w:t>
      </w:r>
      <w:r>
        <w:rPr>
          <w:rFonts w:ascii="Arial" w:hAnsi="Arial"/>
          <w:b/>
          <w:i w:val="0"/>
          <w:sz w:val="28"/>
        </w:rPr>
        <w:t>[AUTORIDAD DEMANDADA]</w:t>
      </w:r>
      <w:r>
        <w:rPr>
          <w:rFonts w:ascii="Arial" w:hAnsi="Arial"/>
          <w:b w:val="0"/>
          <w:i w:val="0"/>
          <w:sz w:val="28"/>
        </w:rPr>
        <w:t xml:space="preserve"> no expuso cómo calculó esos incrementos. Se limitó a sostener, en lo sustancial, lo siguiente: </w:t>
      </w:r>
      <w:r>
        <w:rPr>
          <w:rFonts w:ascii="Arial" w:hAnsi="Arial"/>
          <w:b/>
          <w:i w:val="0"/>
          <w:sz w:val="28"/>
        </w:rPr>
        <w:t>[TRANSCRIPCIÓN DEL PASAJE DE LA CONTESTACIÓN EN QUE LA AUTORIDAD NIEGA LISA Y LLANAMENTE HABER CALCULADO MAL LOS INCREMENTOS]</w:t>
      </w:r>
      <w:r>
        <w:rPr>
          <w:rFonts w:ascii="Arial" w:hAnsi="Arial"/>
          <w:b w:val="0"/>
          <w:i w:val="0"/>
          <w:sz w:val="28"/>
        </w:rPr>
        <w:t>. No exhibió hojas de cálculo, historial de pagos, relación de porcentajes ni constancia alguna de la fecha en que aplicó cada aumento, con lo que dejó sin cumplir la carga que le impone el artículo 22, segundo párrafo.</w:t>
      </w:r>
    </w:p>
    <w:p>
      <w:pPr>
        <w:spacing w:line="360" w:lineRule="auto"/>
        <w:jc w:val="both"/>
      </w:pPr>
      <w:r>
        <w:rPr>
          <w:rFonts w:ascii="Arial" w:hAnsi="Arial"/>
          <w:b w:val="0"/>
          <w:i w:val="0"/>
          <w:sz w:val="28"/>
        </w:rPr>
        <w:t>La negativa de la autoridad es sólo aparente. Cuando el Instituto niega haber calculado mal los incrementos, afirma en rigor un hecho positivo: que los calculó y pagó conforme al sistema legal aplicable. En aquel asunto la Sala Regional razonó que la negativa lisa y llana del Instituto envuelve la afirmación expresa de que sí incrementó la pensión conforme al artículo 57 vigente cuando se concedió, y ante esa aseveración la carga de la prueba recae en la propia autoridad demandada.</w:t>
      </w:r>
    </w:p>
    <w:p>
      <w:pPr>
        <w:spacing w:line="360" w:lineRule="auto"/>
        <w:jc w:val="both"/>
      </w:pPr>
      <w:r>
        <w:rPr>
          <w:rFonts w:ascii="Arial" w:hAnsi="Arial"/>
          <w:b w:val="0"/>
          <w:i w:val="0"/>
          <w:sz w:val="28"/>
        </w:rPr>
        <w:t>La misma conclusión se alcanza por la vía del artículo 42. La persona actora niega de manera lisa y llana que el Instituto haya incrementado su pensión conforme al sistema vigente en la fecha de su derecho; ese es precisamente el hecho que motiva la negativa ficta, de modo que corresponde a la autoridad probarlo. Por la vía del artículo 40 el resultado es idéntico, pues la afirmación del Instituto de que cumplió constituye una excepción, y la ley pone a cargo de la persona demandada la prueba de sus excepciones.</w:t>
      </w:r>
    </w:p>
    <w:p>
      <w:pPr>
        <w:spacing w:line="360" w:lineRule="auto"/>
        <w:jc w:val="both"/>
      </w:pPr>
      <w:r>
        <w:rPr>
          <w:rFonts w:ascii="Arial" w:hAnsi="Arial"/>
          <w:b w:val="0"/>
          <w:i w:val="0"/>
          <w:sz w:val="28"/>
        </w:rPr>
        <w:t>Aquella Sala apoyó en la legislación procesal civil entonces supletoria el principio según el cual quien niega debe probar cuando su negación envuelve la afirmación expresa de un hecho. La conclusión, con todo, no depende de la supletoriedad, porque los artículos 40 y 42 de la Ley Federal de Procedimiento Contencioso Administrativo regulan de manera expresa la distribución de la carga probatoria en este juicio.</w:t>
      </w:r>
    </w:p>
    <w:p>
      <w:pPr>
        <w:spacing w:line="360" w:lineRule="auto"/>
        <w:jc w:val="both"/>
      </w:pPr>
      <w:r>
        <w:rPr>
          <w:rFonts w:ascii="Arial" w:hAnsi="Arial"/>
          <w:b w:val="0"/>
          <w:i w:val="0"/>
          <w:sz w:val="28"/>
        </w:rPr>
        <w:t>Frente a ello, la autoridad sostiene que corresponde a la persona actora demostrar la incorrección de los incrementos, porque el Instituto la negó lisa y llanamente y porque el cálculo sería un acto de naturaleza positiva. Ese razonamiento incurre en la falacia ad ignorantiam, que la doctrina de la argumentación ubica entre los casos más claros de inversión de la carga de la prueba, pues quien la emplea, en lugar de demostrar su afirmación, exige al adversario que pruebe que es falsa.</w:t>
      </w:r>
      <w:r>
        <w:rPr>
          <w:rFonts w:ascii="Arial" w:hAnsi="Arial"/>
          <w:vertAlign w:val="superscript"/>
        </w:rPr>
        <w:t>5</w:t>
      </w:r>
    </w:p>
    <w:p>
      <w:pPr>
        <w:spacing w:line="360" w:lineRule="auto"/>
        <w:jc w:val="both"/>
      </w:pPr>
      <w:r>
        <w:rPr>
          <w:rFonts w:ascii="Arial" w:hAnsi="Arial"/>
          <w:b w:val="0"/>
          <w:i w:val="0"/>
          <w:sz w:val="28"/>
        </w:rPr>
        <w:t>La estructura del error es visible. El Instituto afirma que sus incrementos son correctos, no aporta prueba de ello y pretende que su afirmación se tenga por cierta mientras la persona pensionada no demuestre lo contrario. La premisa que falta, la prueba del cálculo, es justamente la que la ley le exige, y la autoridad la sustituye con la imposibilidad de su contraparte de acreditar un hecho negativo mediante documentos que nunca ha tenido en su poder.</w:t>
      </w:r>
    </w:p>
    <w:p>
      <w:pPr>
        <w:spacing w:line="360" w:lineRule="auto"/>
        <w:jc w:val="both"/>
      </w:pPr>
      <w:r>
        <w:rPr>
          <w:rFonts w:ascii="Arial" w:hAnsi="Arial"/>
          <w:b w:val="0"/>
          <w:i w:val="0"/>
          <w:sz w:val="28"/>
        </w:rPr>
        <w:t>En el ámbito del derecho administrativo esa falacia adopta una forma característica: cuando la carga de la prueba corresponde a la Administración y ésta no ha realizado diligencias probatorias serias, rechazar la pretensión del particular por falta de pruebas constituye un típico argumento ad ignorantiam.</w:t>
      </w:r>
      <w:r>
        <w:rPr>
          <w:rFonts w:ascii="Arial" w:hAnsi="Arial"/>
          <w:vertAlign w:val="superscript"/>
        </w:rPr>
        <w:t>6</w:t>
      </w:r>
      <w:r>
        <w:rPr>
          <w:rFonts w:ascii="Arial" w:hAnsi="Arial"/>
          <w:b w:val="0"/>
          <w:i w:val="0"/>
          <w:sz w:val="28"/>
        </w:rPr>
        <w:t xml:space="preserve"> Eso es exactamente lo que pide la autoridad: que la Sala desestime la pretensión por la ausencia de una prueba que sólo ella podía aportar.</w:t>
      </w:r>
    </w:p>
    <w:p>
      <w:pPr>
        <w:spacing w:line="360" w:lineRule="auto"/>
        <w:jc w:val="both"/>
      </w:pPr>
      <w:r>
        <w:rPr>
          <w:rFonts w:ascii="Arial" w:hAnsi="Arial"/>
          <w:b w:val="0"/>
          <w:i w:val="0"/>
          <w:sz w:val="28"/>
        </w:rPr>
        <w:t>El argumento de que la determinación de los incrementos es un acto positivo cuya existencia debe probar quien lo impugna incurre, además, en una falsa analogía. Equipara la carga de acreditar la existencia de un acto, propia de los procesos en que la autoridad niega haberlo emitido, con la carga de demostrar su legalidad en el juicio de nulidad, donde la existencia de la negativa ficta está acreditada y donde los artículos 40 y 42 regulan de manera expresa quién debe probar cada hecho.</w:t>
      </w:r>
    </w:p>
    <w:p>
      <w:pPr>
        <w:spacing w:line="360" w:lineRule="auto"/>
        <w:jc w:val="both"/>
      </w:pPr>
      <w:r>
        <w:rPr>
          <w:rFonts w:ascii="Arial" w:hAnsi="Arial"/>
          <w:b w:val="0"/>
          <w:i w:val="0"/>
          <w:sz w:val="28"/>
        </w:rPr>
        <w:t xml:space="preserve">Tampoco resiste el análisis la objeción de que la persona actora no ofreció prueba idónea. Su pretensión descansa en dos hechos: la fecha en que adquirió el derecho, acreditada con </w:t>
      </w:r>
      <w:r>
        <w:rPr>
          <w:rFonts w:ascii="Arial" w:hAnsi="Arial"/>
          <w:b/>
          <w:i w:val="0"/>
          <w:sz w:val="28"/>
        </w:rPr>
        <w:t>[DOCUMENTO QUE ACREDITA LA CONCESIÓN DE LA PENSIÓN]</w:t>
      </w:r>
      <w:r>
        <w:rPr>
          <w:rFonts w:ascii="Arial" w:hAnsi="Arial"/>
          <w:b w:val="0"/>
          <w:i w:val="0"/>
          <w:sz w:val="28"/>
        </w:rPr>
        <w:t xml:space="preserve">, documento público no objetado; y la falta de aplicación del sistema legal, hecho negativo que no está obligada a probar. </w:t>
      </w:r>
      <w:r>
        <w:rPr>
          <w:rFonts w:ascii="Arial" w:hAnsi="Arial"/>
          <w:b/>
          <w:i w:val="0"/>
          <w:sz w:val="28"/>
        </w:rPr>
        <w:t>[PRUEBAS ADICIONALES QUE OBRAN EN AUTOS]</w:t>
      </w:r>
      <w:r>
        <w:rPr>
          <w:rFonts w:ascii="Arial" w:hAnsi="Arial"/>
          <w:b w:val="0"/>
          <w:i w:val="0"/>
          <w:sz w:val="28"/>
        </w:rPr>
        <w:t xml:space="preserve"> refuerzan esa conclusión, sin que la carga de demostrar el cálculo correcto deje de pesar sobre el Instituto.</w:t>
      </w:r>
    </w:p>
    <w:p>
      <w:pPr>
        <w:spacing w:line="360" w:lineRule="auto"/>
        <w:jc w:val="both"/>
      </w:pPr>
      <w:r>
        <w:rPr>
          <w:rFonts w:ascii="Arial" w:hAnsi="Arial"/>
          <w:b w:val="0"/>
          <w:i w:val="0"/>
          <w:sz w:val="28"/>
        </w:rPr>
        <w:t xml:space="preserve">La consecuencia es la que prevé el artículo 51, fracción II, de la Ley Federal de Procedimiento Contencioso Administrativo, que sanciona la </w:t>
      </w:r>
      <w:r>
        <w:rPr>
          <w:rFonts w:ascii="Arial" w:hAnsi="Arial"/>
          <w:b w:val="0"/>
          <w:i/>
          <w:sz w:val="28"/>
        </w:rPr>
        <w:t>“Omisión de los requisitos formales exigidos por las leyes, siempre que afecte las defensas de la persona particular y trascienda al sentido de la resolución impugnada, inclusive la ausencia de fundamentación o motivación, en su caso.”</w:t>
      </w:r>
      <w:r>
        <w:rPr>
          <w:rFonts w:ascii="Arial" w:hAnsi="Arial"/>
          <w:b w:val="0"/>
          <w:i w:val="0"/>
          <w:sz w:val="28"/>
        </w:rPr>
        <w:t xml:space="preserve"> La negativa ficta quedó sin fundamentos ni motivos que la sostengan, porque los que la autoridad expresó al contestar no demuestran la corrección de un solo incremento.</w:t>
      </w:r>
    </w:p>
    <w:p>
      <w:pPr>
        <w:spacing w:line="360" w:lineRule="auto"/>
        <w:jc w:val="both"/>
      </w:pPr>
      <w:r>
        <w:rPr>
          <w:rFonts w:ascii="Arial" w:hAnsi="Arial"/>
          <w:b w:val="0"/>
          <w:i w:val="0"/>
          <w:sz w:val="28"/>
        </w:rPr>
        <w:t>Para los efectos del artículo 50, segundo párrafo, de la misma ley, la afectación a las defensas y la trascendencia al sentido de la resolución son claras. Sin conocer las fechas, los porcentajes y las operaciones aplicadas, la persona actora no puede verificar si la cuantía que recibe corresponde a la que la ley le garantiza ni cuantificar las diferencias a su favor; y esa omisión determina el sentido mismo de la resolución, que consiste en negar el ajuste solicitado.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derecho de la persona actora a que su pensión se incremente conforme al sistema del artículo 57 vigente en la fecha en que lo adquirió está acreditado con documento público; la autoridad afirmó haber cumplido ese deber sin probarlo; la carga de la prueba le correspondía por disposición de los artículos 40 y 42 de la Ley Federal de Procedimiento Contencioso Administrativo; y su pretensión de trasladarla a la persona pensionada descansa en una falacia ad ignorantiam.</w:t>
      </w:r>
    </w:p>
    <w:p>
      <w:pPr>
        <w:spacing w:line="360" w:lineRule="auto"/>
        <w:jc w:val="both"/>
      </w:pPr>
      <w:r>
        <w:rPr>
          <w:rFonts w:ascii="Arial" w:hAnsi="Arial"/>
          <w:b w:val="0"/>
          <w:i w:val="0"/>
          <w:sz w:val="28"/>
        </w:rPr>
        <w:t xml:space="preserve">Por lo expuesto, procede declarar fundado este concepto de impugnación y decretar la nulidad de la resolución negativa ficta impugnada, con fundamento en los artículos 51, fracción II, y 52, fracción IV, de la Ley Federal de Procedimiento Contencioso Administrativo, para el efecto de que la autoridad competente emita una nueva resolución, fundada y motivada, en la que reconozca que los incrementos de la pensión se rigen por </w:t>
      </w:r>
      <w:r>
        <w:rPr>
          <w:rFonts w:ascii="Arial" w:hAnsi="Arial"/>
          <w:b/>
          <w:i w:val="0"/>
          <w:sz w:val="28"/>
        </w:rPr>
        <w:t>[SISTEMA DE INCREMENTO APLICABLE SEGÚN LA FECHA DEL DERECHO]</w:t>
      </w:r>
      <w:r>
        <w:rPr>
          <w:rFonts w:ascii="Arial" w:hAnsi="Arial"/>
          <w:b w:val="0"/>
          <w:i w:val="0"/>
          <w:sz w:val="28"/>
        </w:rPr>
        <w:t>.</w:t>
      </w:r>
    </w:p>
    <w:p>
      <w:pPr>
        <w:spacing w:line="360" w:lineRule="auto"/>
        <w:jc w:val="both"/>
      </w:pPr>
      <w:r>
        <w:rPr>
          <w:rFonts w:ascii="Arial" w:hAnsi="Arial"/>
          <w:b w:val="0"/>
          <w:i w:val="0"/>
          <w:sz w:val="28"/>
        </w:rPr>
        <w:t>En esa nueva resolución la autoridad deberá precisar las fechas y los porcentajes de cada aumento del parámetro legal, sus fechas de publicación en el Diario Oficial de la Federación, las operaciones aritméticas con que determinó cada incremento y la fecha en que lo aplicó, así como cuantificar y pagar las diferencias que resulten a favor de la persona actora, términos que se solicita precisar en la sentencia conforme a la pretensión deducida en este juicio.</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180.</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GAMA LEYVA, op. cit.</w:t>
      </w:r>
      <w:r>
        <w:rPr>
          <w:rFonts w:ascii="Arial" w:hAnsi="Arial"/>
          <w:i w:val="0"/>
          <w:sz w:val="20"/>
        </w:rPr>
        <w:t>, p. 91.</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68.</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 p. 270.</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54.</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 p. 139.</w:t>
      </w:r>
    </w:p>
    <w:p/>
    <w:p>
      <w:r>
        <w:rPr>
          <w:rFonts w:ascii="Arial" w:hAnsi="Arial"/>
          <w:b/>
          <w:sz w:val="22"/>
        </w:rPr>
        <w:t>BIBLIOGRAFÍA</w:t>
      </w:r>
    </w:p>
    <w:p>
      <w:pPr>
        <w:spacing w:after="60"/>
        <w:ind w:left="360" w:hanging="360"/>
        <w:jc w:val="both"/>
      </w:pP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w:t>
      </w:r>
    </w:p>
    <w:p>
      <w:pPr>
        <w:spacing w:after="60"/>
        <w:ind w:left="360" w:hanging="360"/>
        <w:jc w:val="both"/>
      </w:pP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w:t>
      </w:r>
    </w:p>
    <w:p>
      <w:pPr>
        <w:spacing w:after="60"/>
        <w:ind w:left="360" w:hanging="360"/>
        <w:jc w:val="both"/>
      </w:pP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